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86F80" w14:textId="39FCC9A3" w:rsidR="00CB09C2" w:rsidRDefault="005B07C0">
      <w:r>
        <w:t>BNG Exemption Statement – H02-0288-25</w:t>
      </w:r>
    </w:p>
    <w:p w14:paraId="1FAC1F21" w14:textId="77777777" w:rsidR="005B07C0" w:rsidRDefault="005B07C0"/>
    <w:p w14:paraId="0F795DE3" w14:textId="77777777" w:rsidR="005B07C0" w:rsidRDefault="005B07C0" w:rsidP="005B07C0">
      <w:pPr>
        <w:rPr>
          <w:rFonts w:eastAsia="Times New Roman"/>
        </w:rPr>
      </w:pPr>
      <w:r>
        <w:rPr>
          <w:rFonts w:eastAsia="Times New Roman"/>
        </w:rPr>
        <w:t>We confirm that this application is exempt from Biodiversity Net Gain requirements, as the building has been on site for over 10 years and this is a retrospective application. The requirement for BNG only came into effect last year and therefore does not apply in this case.</w:t>
      </w:r>
    </w:p>
    <w:p w14:paraId="3E139745" w14:textId="77777777" w:rsidR="005B07C0" w:rsidRDefault="005B07C0" w:rsidP="005B07C0">
      <w:pPr>
        <w:rPr>
          <w:rFonts w:eastAsia="Times New Roman"/>
        </w:rPr>
      </w:pPr>
    </w:p>
    <w:p w14:paraId="24CA23D7" w14:textId="77777777" w:rsidR="005B07C0" w:rsidRDefault="005B07C0"/>
    <w:p w14:paraId="021CAC6E" w14:textId="77777777" w:rsidR="005B07C0" w:rsidRDefault="005B07C0"/>
    <w:p w14:paraId="728F6995" w14:textId="77777777" w:rsidR="005B07C0" w:rsidRDefault="005B07C0"/>
    <w:sectPr w:rsidR="005B0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C0"/>
    <w:rsid w:val="005B07C0"/>
    <w:rsid w:val="00CB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385C0"/>
  <w15:chartTrackingRefBased/>
  <w15:docId w15:val="{C0A1F97B-350C-4061-8C61-B9294D81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5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Karen</dc:creator>
  <cp:keywords/>
  <dc:description/>
  <cp:lastModifiedBy>Porter, Karen</cp:lastModifiedBy>
  <cp:revision>1</cp:revision>
  <dcterms:created xsi:type="dcterms:W3CDTF">2025-09-16T07:51:00Z</dcterms:created>
  <dcterms:modified xsi:type="dcterms:W3CDTF">2025-09-16T07:52:00Z</dcterms:modified>
</cp:coreProperties>
</file>