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b/>
          <w:bCs/>
          <w:sz w:val="32"/>
          <w:szCs w:val="32"/>
        </w:rPr>
      </w:pPr>
      <w:r>
        <w:rPr>
          <w:rFonts w:ascii="Arial" w:hAnsi="Arial" w:eastAsia="Arial" w:cs="Arial"/>
          <w:b/>
          <w:bCs/>
          <w:sz w:val="32"/>
          <w:szCs w:val="32"/>
        </w:rPr>
        <w:t>Biodiversity Net Gain (BNG) Exemption Statement</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b/>
          <w:bCs/>
          <w:sz w:val="32"/>
          <w:szCs w:val="32"/>
        </w:rPr>
      </w:pPr>
      <w:r>
        <w:rPr>
          <w:rFonts w:ascii="Arial" w:hAnsi="Arial" w:eastAsia="Arial" w:cs="Arial"/>
          <w:b/>
          <w:bCs/>
          <w:sz w:val="32"/>
          <w:szCs w:val="3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b/>
          <w:bCs/>
          <w:sz w:val="24"/>
          <w:szCs w:val="24"/>
        </w:rPr>
      </w:pPr>
      <w:r>
        <w:rPr>
          <w:rFonts w:ascii="Arial" w:hAnsi="Arial" w:eastAsia="Arial" w:cs="Arial"/>
          <w:b/>
          <w:bCs/>
          <w:sz w:val="24"/>
          <w:szCs w:val="24"/>
        </w:rPr>
        <w:t>Site Address: Land to the rear of 14-16 Crease Drove, Crowland, Lincolnshire,</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b/>
          <w:bCs/>
          <w:sz w:val="24"/>
          <w:szCs w:val="24"/>
        </w:rPr>
      </w:pPr>
      <w:r>
        <w:rPr>
          <w:rFonts w:ascii="Arial" w:hAnsi="Arial" w:eastAsia="Arial" w:cs="Arial"/>
          <w:b/>
          <w:bCs/>
          <w:sz w:val="24"/>
          <w:szCs w:val="24"/>
        </w:rPr>
        <w:t>PE6 0BN</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b/>
          <w:bCs/>
          <w:sz w:val="24"/>
          <w:szCs w:val="24"/>
        </w:rPr>
      </w:pPr>
      <w:r>
        <w:rPr>
          <w:rFonts w:ascii="Arial" w:hAnsi="Arial" w:eastAsia="Arial" w:cs="Arial"/>
          <w:b/>
          <w:bCs/>
          <w:sz w:val="24"/>
          <w:szCs w:val="24"/>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t xml:space="preserve">Proposal: The construction of two chalet bungalows </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b/>
          <w:bCs/>
          <w:sz w:val="22"/>
          <w:szCs w:val="22"/>
        </w:rPr>
        <w:t>1.0 Introduction</w:t>
      </w:r>
      <w:r>
        <w:rPr>
          <w:rFonts w:ascii="Arial" w:hAnsi="Arial" w:eastAsia="Arial" w:cs="Arial"/>
          <w:sz w:val="22"/>
          <w:szCs w:val="22"/>
        </w:rPr>
        <w:t xml:space="preserve"> </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color w:val="0d0d0d"/>
          <w:sz w:val="22"/>
          <w:szCs w:val="22"/>
        </w:rPr>
        <w:t>This statement has been prepared in support of the above planning application to demonstrate that the proposed development falls within an exemption from the mandatory Biodiversity Net Gain (BNG) requirements set out in Schedule 7A of the Town and Country Planning Act 1990, as introduced by the Environment Act 2021</w:t>
      </w:r>
      <w:r>
        <w:rPr>
          <w:rFonts w:ascii="Arial" w:hAnsi="Arial" w:eastAsia="Arial" w:cs="Arial"/>
          <w:sz w:val="22"/>
          <w:szCs w:val="22"/>
        </w:rPr>
        <w:t xml:space="preserve">. </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b/>
          <w:bCs/>
          <w:sz w:val="22"/>
          <w:szCs w:val="22"/>
        </w:rPr>
      </w:pPr>
      <w:r>
        <w:rPr>
          <w:rFonts w:ascii="Arial" w:hAnsi="Arial" w:eastAsia="Arial" w:cs="Arial"/>
          <w:b/>
          <w:bCs/>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b/>
          <w:bCs/>
          <w:sz w:val="22"/>
          <w:szCs w:val="22"/>
        </w:rPr>
      </w:pPr>
      <w:r>
        <w:rPr>
          <w:rFonts w:ascii="Arial" w:hAnsi="Arial" w:eastAsia="Arial" w:cs="Arial"/>
          <w:b/>
          <w:bCs/>
          <w:sz w:val="22"/>
          <w:szCs w:val="22"/>
        </w:rPr>
        <w:t xml:space="preserve">2.0 Mandatory Biodiversity Net Gain Mandatory </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color w:val="0d0d0d"/>
          <w:sz w:val="22"/>
          <w:szCs w:val="22"/>
        </w:rPr>
        <w:t>Biodiversity Net Gain (BNG) is a statutory requirement for most planning applications in England, requiring qualifying developments to achieve a minimum 10% increase in biodiversity value. However, the Biodiversity Gain Requirements (Exemptions) Regulations 2024 set out specific types of development that are exempt from the mandatory biodiversity gain condition.</w:t>
      </w: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rFonts w:ascii="Arial" w:hAnsi="Arial" w:eastAsia="Arial" w:cs="Arial"/>
          <w:b/>
          <w:bCs/>
          <w:sz w:val="22"/>
          <w:szCs w:val="22"/>
        </w:rPr>
        <w:t xml:space="preserve">3.0 </w:t>
      </w:r>
      <w:r>
        <w:rPr>
          <w:rFonts w:ascii="Arial" w:hAnsi="Arial" w:eastAsia="Arial" w:cs="Arial"/>
          <w:sz w:val="22"/>
          <w:szCs w:val="22"/>
        </w:rPr>
        <w:t>Small-Site Area Exemption</w:t>
      </w: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b/>
          <w:bCs/>
          <w:sz w:val="22"/>
          <w:szCs w:val="22"/>
        </w:rPr>
      </w:pPr>
      <w:r>
        <w:rPr>
          <w:rFonts w:ascii="Arial" w:hAnsi="Arial" w:eastAsia="Arial" w:cs="Arial"/>
          <w:b/>
          <w:bCs/>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t xml:space="preserve">The Government's published guidance confirms that small-site area is exempt from mandatory BNG where all of the following criteria are met: </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t xml:space="preserve">• where the site area within the red line boundary is </w:t>
      </w:r>
      <w:r>
        <w:rPr>
          <w:rFonts w:ascii="Arial" w:hAnsi="Arial" w:eastAsia="Arial" w:cs="Arial"/>
          <w:b/>
          <w:sz w:val="22"/>
          <w:szCs w:val="22"/>
        </w:rPr>
        <w:t>0.2 hectares (2,000 square metres) or less</w:t>
      </w: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t>• provided there is no negative impact on onsite priority habitat.</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b/>
          <w:bCs/>
          <w:sz w:val="22"/>
          <w:szCs w:val="22"/>
        </w:rPr>
      </w:pPr>
      <w:r>
        <w:rPr>
          <w:rFonts w:ascii="Arial" w:hAnsi="Arial" w:eastAsia="Arial" w:cs="Arial"/>
          <w:b/>
          <w:bCs/>
          <w:sz w:val="22"/>
          <w:szCs w:val="22"/>
        </w:rPr>
        <w:t xml:space="preserve">4.0 Assessment of the Proposed Development </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t xml:space="preserve">The proposed development satisfies all of the above criteria as follows: </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t xml:space="preserve">• The application site extends to less than 0.5 hectares; </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t>• The proposal has no negative impact on onsite priority habitat.</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t xml:space="preserve">5.0 Conclusion </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t xml:space="preserve">The proposed development falls within the small-site area exemption to mandatory Biodiversity Net Gain. </w:t>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color w:val="0d0d0d"/>
          <w:sz w:val="22"/>
          <w:szCs w:val="22"/>
        </w:rPr>
        <w:t>The statutory biodiversity gain condition is not applicable, and there is no requirement to submit a Biodiversity Gain Plan, biodiversity metric calculations, off-site biodiversity units or statutory biodiversity credits.</w:t>
      </w: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p>
      <w:pP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Arial" w:cs="Arial"/>
          <w:sz w:val="22"/>
          <w:szCs w:val="22"/>
        </w:rPr>
      </w:pPr>
      <w:r>
        <w:rPr>
          <w:rFonts w:ascii="Arial" w:hAnsi="Arial" w:eastAsia="Arial" w:cs="Arial"/>
          <w:sz w:val="22"/>
          <w:szCs w:val="22"/>
        </w:rPr>
      </w:r>
    </w:p>
    <w:sectPr>
      <w:footnotePr>
        <w:pos w:val="pageBottom"/>
        <w:numFmt w:val="decimal"/>
        <w:numStart w:val="1"/>
        <w:numRestart w:val="continuous"/>
      </w:footnotePr>
      <w:endnotePr>
        <w:pos w:val="docEnd"/>
        <w:numFmt w:val="decimal"/>
        <w:numStart w:val="1"/>
        <w:numRestart w:val="continuous"/>
      </w:endnotePr>
      <w:type w:val="continuous"/>
      <w:pgSz w:h="15840" w:w="12240"/>
      <w:pgMar w:left="1440" w:top="1440" w:right="1440" w:bottom="1440" w:header="0" w:footer="0"/>
      <w:paperSrc w:first="0" w:other="0"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Comic Sans MS">
    <w:panose1 w:val="030F0702030302020204"/>
    <w:charset w:val="00"/>
    <w:family w:val="script"/>
    <w:pitch w:val="default"/>
  </w:font>
  <w:font w:name="Segoe UI">
    <w:panose1 w:val="020B0502040204020203"/>
    <w:charset w:val="00"/>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20"/>
  <w:autoHyphenation w:val="1"/>
  <w:doNotShadeFormData w:val="1"/>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240"/>
    <w:tmCommentsColor w:val="-1"/>
  </w:tmCommentsPr>
  <w:tmReviewPr>
    <w:tmReviewEnabled w:val="0"/>
    <w:tmReviewShow w:val="1"/>
    <w:tmReviewPrint w:val="0"/>
    <w:tmRevisionNum w:val="2"/>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0"/>
    <w:tmLastPosCaret>
      <w:tmLastPosPgfIdx w:val="29"/>
      <w:tmLastPosIdx w:val="65"/>
    </w:tmLastPosCaret>
    <w:tmLastPosAnchor>
      <w:tmLastPosPgfIdx w:val="0"/>
      <w:tmLastPosIdx w:val="0"/>
    </w:tmLastPosAnchor>
    <w:tmLastPosTblRect w:left="0" w:top="0" w:right="0" w:bottom="0"/>
  </w:tmLastPos>
  <w:tmAppRevision w:date="1793098670"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n-gb"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en-gb"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2026-10-27T10:37:54Z</dcterms:created>
  <dcterms:modified xsi:type="dcterms:W3CDTF">2026-10-27T10:57:50Z</dcterms:modified>
</cp:coreProperties>
</file>