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7D7B" w14:textId="54949C3A" w:rsidR="004D3D39" w:rsidRDefault="004D3D39" w:rsidP="004D3D39">
      <w:pPr>
        <w:jc w:val="center"/>
      </w:pPr>
      <w:r>
        <w:t xml:space="preserve">Flood </w:t>
      </w:r>
      <w:r w:rsidRPr="004D3D39">
        <w:t>Risk Assessment</w:t>
      </w:r>
    </w:p>
    <w:p w14:paraId="6340CA0A" w14:textId="77777777" w:rsidR="004D3D39" w:rsidRPr="004D3D39" w:rsidRDefault="004D3D39" w:rsidP="004D3D39">
      <w:pPr>
        <w:jc w:val="center"/>
      </w:pPr>
    </w:p>
    <w:p w14:paraId="3DFE8E75" w14:textId="6FF5916C" w:rsidR="004D3D39" w:rsidRPr="004D3D39" w:rsidRDefault="004D3D39" w:rsidP="004D3D39">
      <w:pPr>
        <w:pStyle w:val="ListParagraph"/>
        <w:numPr>
          <w:ilvl w:val="0"/>
          <w:numId w:val="38"/>
        </w:numPr>
      </w:pPr>
      <w:r w:rsidRPr="004D3D39">
        <w:t>Development site and location. </w:t>
      </w:r>
    </w:p>
    <w:p w14:paraId="69ABEFE0" w14:textId="77777777" w:rsidR="004D3D39" w:rsidRPr="004D3D39" w:rsidRDefault="004D3D39" w:rsidP="004D3D39">
      <w:r w:rsidRPr="004D3D39">
        <w:t> </w:t>
      </w:r>
    </w:p>
    <w:p w14:paraId="041E4842" w14:textId="77777777" w:rsidR="004D3D39" w:rsidRDefault="004D3D39" w:rsidP="004D3D39">
      <w:r w:rsidRPr="004D3D39">
        <w:t>This flood risk assessment has been prepared to support the planning application for a drop kerb at 1 Stonehouse Cottage, Main Road, Deeping St Nicholas, Spalding PE11 3DJ.   Easting 518104, Northing 313355.  </w:t>
      </w:r>
    </w:p>
    <w:p w14:paraId="0CA53EF0" w14:textId="77777777" w:rsidR="004D3D39" w:rsidRPr="004D3D39" w:rsidRDefault="004D3D39" w:rsidP="004D3D39"/>
    <w:p w14:paraId="18C6C453" w14:textId="77777777" w:rsidR="004D3D39" w:rsidRDefault="004D3D39" w:rsidP="004D3D39">
      <w:r w:rsidRPr="004D3D39">
        <w:t>We would like to submit an application for a drop kerb for driveway access to our residential property at the above address and as per the location plan, included with this application.  We believe the development will be safe for its lifetime and will not increase flood risk elsewhere. </w:t>
      </w:r>
    </w:p>
    <w:p w14:paraId="6587E4ED" w14:textId="77777777" w:rsidR="004D3D39" w:rsidRPr="004D3D39" w:rsidRDefault="004D3D39" w:rsidP="004D3D39"/>
    <w:p w14:paraId="1C666E69" w14:textId="1B7C29F9" w:rsidR="004D3D39" w:rsidRPr="004D3D39" w:rsidRDefault="004D3D39" w:rsidP="004D3D39">
      <w:r w:rsidRPr="004D3D39">
        <w:t>The site is within Flood Zone 3 as shown on the Environment Agency’s Flood Zone Map</w:t>
      </w:r>
      <w:r>
        <w:t xml:space="preserve"> below</w:t>
      </w:r>
      <w:r w:rsidRPr="004D3D39">
        <w:t>.  </w:t>
      </w:r>
    </w:p>
    <w:p w14:paraId="20A665D9" w14:textId="77777777" w:rsidR="004D3D39" w:rsidRPr="004D3D39" w:rsidRDefault="004D3D39" w:rsidP="004D3D39">
      <w:r w:rsidRPr="004D3D39">
        <w:t> </w:t>
      </w:r>
    </w:p>
    <w:p w14:paraId="2A9DF60C" w14:textId="076B68C2" w:rsidR="004D3D39" w:rsidRPr="004D3D39" w:rsidRDefault="004D3D39" w:rsidP="004D3D39">
      <w:r w:rsidRPr="004D3D39">
        <w:rPr>
          <w:noProof/>
        </w:rPr>
        <w:drawing>
          <wp:inline distT="0" distB="0" distL="0" distR="0" wp14:anchorId="04DB5972" wp14:editId="1C0503B1">
            <wp:extent cx="5731510" cy="3911600"/>
            <wp:effectExtent l="0" t="0" r="2540" b="0"/>
            <wp:docPr id="403996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11600"/>
                    </a:xfrm>
                    <a:prstGeom prst="rect">
                      <a:avLst/>
                    </a:prstGeom>
                    <a:noFill/>
                    <a:ln>
                      <a:noFill/>
                    </a:ln>
                  </pic:spPr>
                </pic:pic>
              </a:graphicData>
            </a:graphic>
          </wp:inline>
        </w:drawing>
      </w:r>
      <w:r w:rsidRPr="004D3D39">
        <w:t> </w:t>
      </w:r>
    </w:p>
    <w:p w14:paraId="08F4F764" w14:textId="1B71C2EE" w:rsidR="004D3D39" w:rsidRPr="004D3D39" w:rsidRDefault="004D3D39" w:rsidP="004D3D39">
      <w:r w:rsidRPr="004D3D39">
        <w:t>The Guidance for planning states that if a</w:t>
      </w:r>
      <w:r>
        <w:t xml:space="preserve"> development</w:t>
      </w:r>
      <w:r w:rsidRPr="004D3D39">
        <w:t xml:space="preserve"> lies within Flood Zone 3 a Flood Risk Assessment should be carried out.  I have attached the correspondence from the Environment Agency </w:t>
      </w:r>
      <w:r>
        <w:t xml:space="preserve">with this application, </w:t>
      </w:r>
      <w:r w:rsidRPr="004D3D39">
        <w:t>to</w:t>
      </w:r>
      <w:r>
        <w:t>g</w:t>
      </w:r>
      <w:r w:rsidRPr="004D3D39">
        <w:t>ether with the Flood map for this area.  The map indicates the area at risk of flooding has 0.5% chance of occurring in any year for flooding from the sea or a 1% chance of occurring for fluvial flooding</w:t>
      </w:r>
      <w:r w:rsidR="00C1625C">
        <w:t>.</w:t>
      </w:r>
      <w:r w:rsidRPr="004D3D39">
        <w:t xml:space="preserve"> </w:t>
      </w:r>
      <w:r>
        <w:t>It also shows the extent</w:t>
      </w:r>
      <w:r w:rsidRPr="004D3D39">
        <w:t xml:space="preserve"> of the Extreme Flood outline </w:t>
      </w:r>
      <w:r>
        <w:t>represents the extent of a flood with a 0</w:t>
      </w:r>
      <w:r w:rsidRPr="004D3D39">
        <w:t>.1% chance of occurring in any year.  They state there is no history of flooding in this area</w:t>
      </w:r>
      <w:r w:rsidR="00C1625C">
        <w:t xml:space="preserve"> and it’s</w:t>
      </w:r>
      <w:r w:rsidRPr="004D3D39">
        <w:t xml:space="preserve"> not considered to be at risk of flooding from main rivers or from Tidal flooding.      </w:t>
      </w:r>
    </w:p>
    <w:p w14:paraId="38C36051" w14:textId="77777777" w:rsidR="004D3D39" w:rsidRPr="004D3D39" w:rsidRDefault="004D3D39" w:rsidP="004D3D39">
      <w:r w:rsidRPr="004D3D39">
        <w:t> </w:t>
      </w:r>
    </w:p>
    <w:p w14:paraId="08A19B39" w14:textId="77777777" w:rsidR="004D3D39" w:rsidRPr="004D3D39" w:rsidRDefault="004D3D39" w:rsidP="004D3D39">
      <w:r w:rsidRPr="004D3D39">
        <w:t> </w:t>
      </w:r>
    </w:p>
    <w:p w14:paraId="3ACC86E4" w14:textId="77777777" w:rsidR="004D3D39" w:rsidRDefault="004D3D39" w:rsidP="004D3D39">
      <w:pPr>
        <w:numPr>
          <w:ilvl w:val="0"/>
          <w:numId w:val="37"/>
        </w:numPr>
      </w:pPr>
      <w:r w:rsidRPr="004D3D39">
        <w:t>Development Proposal </w:t>
      </w:r>
    </w:p>
    <w:p w14:paraId="6259CDDB" w14:textId="77777777" w:rsidR="008F375C" w:rsidRPr="004D3D39" w:rsidRDefault="008F375C" w:rsidP="008F375C">
      <w:pPr>
        <w:ind w:left="720"/>
      </w:pPr>
    </w:p>
    <w:p w14:paraId="661CD5AF" w14:textId="0A5ACD44" w:rsidR="0018246C" w:rsidRDefault="004D3D39" w:rsidP="004D3D39">
      <w:r w:rsidRPr="004D3D39">
        <w:t>Included with this application is a current and proposed block plan to show the changes needed to insta</w:t>
      </w:r>
      <w:r w:rsidR="007B750C">
        <w:t>l</w:t>
      </w:r>
      <w:r w:rsidRPr="004D3D39">
        <w:t xml:space="preserve">l a drop kerb.  A drop kerb is not listed under the National Planning Policy Framework </w:t>
      </w:r>
      <w:r w:rsidR="00C1625C">
        <w:t>making it</w:t>
      </w:r>
      <w:r w:rsidRPr="004D3D39">
        <w:t xml:space="preserve"> difficult to assess it’s vulnerability classification and therefore whether a sequential test should be </w:t>
      </w:r>
      <w:r w:rsidRPr="004D3D39">
        <w:lastRenderedPageBreak/>
        <w:t>completed. </w:t>
      </w:r>
      <w:r w:rsidR="00015C4B">
        <w:t xml:space="preserve"> </w:t>
      </w:r>
      <w:r w:rsidRPr="004D3D39">
        <w:t xml:space="preserve">The Sequential test is designed to </w:t>
      </w:r>
      <w:r w:rsidR="00323E2D">
        <w:t>guide development to those areas at less risk of floodin</w:t>
      </w:r>
      <w:r w:rsidR="00015C4B">
        <w:t xml:space="preserve">g.  </w:t>
      </w:r>
      <w:r w:rsidR="00AD4BF1">
        <w:t>On applying the sequential test, i</w:t>
      </w:r>
      <w:r w:rsidR="00015C4B">
        <w:t xml:space="preserve">n this case, </w:t>
      </w:r>
      <w:r w:rsidR="00015C4B" w:rsidRPr="004D3D39">
        <w:t>due to the location of our property, we are unable to locate the d</w:t>
      </w:r>
      <w:r w:rsidR="00015C4B">
        <w:t>rop kerb</w:t>
      </w:r>
      <w:r w:rsidR="00015C4B" w:rsidRPr="004D3D39">
        <w:t xml:space="preserve"> to a lower or medium risk area. </w:t>
      </w:r>
      <w:r w:rsidR="00AD4BF1">
        <w:t xml:space="preserve"> However the development is appropriate for a residential property and we believe it </w:t>
      </w:r>
      <w:r w:rsidR="004A6A52">
        <w:t xml:space="preserve">could be considered </w:t>
      </w:r>
      <w:r w:rsidR="001A3569">
        <w:t xml:space="preserve">a minor development as </w:t>
      </w:r>
      <w:r w:rsidR="004D3CBD">
        <w:t>it is an ‘</w:t>
      </w:r>
      <w:r w:rsidR="001A3569">
        <w:t>alteration</w:t>
      </w:r>
      <w:r w:rsidR="004D3CBD">
        <w:t>’ and</w:t>
      </w:r>
      <w:r w:rsidR="001A3569">
        <w:t xml:space="preserve"> will not increase the size of </w:t>
      </w:r>
      <w:r w:rsidR="0017131E">
        <w:t xml:space="preserve">a </w:t>
      </w:r>
      <w:r w:rsidR="001A3569">
        <w:t xml:space="preserve">building and </w:t>
      </w:r>
      <w:r w:rsidR="00AD4BF1">
        <w:t xml:space="preserve">there will be no change to ground levels.  </w:t>
      </w:r>
      <w:r w:rsidR="004A6A52">
        <w:t xml:space="preserve">The development is unlikely to raise significant flood risk issues.  </w:t>
      </w:r>
      <w:r w:rsidR="00AD4BF1">
        <w:t>Therefore we consider the sequential test has been passed.</w:t>
      </w:r>
    </w:p>
    <w:p w14:paraId="56F56D0F" w14:textId="77777777" w:rsidR="00AD4BF1" w:rsidRDefault="00AD4BF1" w:rsidP="004D3D39"/>
    <w:p w14:paraId="7C6EBFA9" w14:textId="4704EDB1" w:rsidR="00015C4B" w:rsidRDefault="00AD4BF1" w:rsidP="004D3D39">
      <w:r>
        <w:t>As the sequential test demonstrates</w:t>
      </w:r>
      <w:r w:rsidR="0017131E">
        <w:t>,</w:t>
      </w:r>
      <w:r>
        <w:t xml:space="preserve"> there are no reasonably available, lower risk sites suitable to which th</w:t>
      </w:r>
      <w:r w:rsidR="0017131E">
        <w:t>is</w:t>
      </w:r>
      <w:r>
        <w:t xml:space="preserve"> development could be steered.</w:t>
      </w:r>
      <w:r w:rsidR="009978B7">
        <w:t xml:space="preserve">  As </w:t>
      </w:r>
      <w:r>
        <w:t xml:space="preserve">its not possible for the development to be located in zones with a lower probability of flooding </w:t>
      </w:r>
      <w:r w:rsidR="001A3569">
        <w:t xml:space="preserve">I have considered the </w:t>
      </w:r>
      <w:r>
        <w:t>exception test</w:t>
      </w:r>
      <w:r w:rsidR="001A3569">
        <w:t>.</w:t>
      </w:r>
      <w:r w:rsidR="009978B7">
        <w:t xml:space="preserve">  It can’t be demonstrated that the development would provide wider sustainability benefits to the community as it’s a personal </w:t>
      </w:r>
      <w:r w:rsidR="0017131E">
        <w:t>change of use</w:t>
      </w:r>
      <w:r w:rsidR="009978B7">
        <w:t xml:space="preserve"> and not one the </w:t>
      </w:r>
      <w:r w:rsidR="001A3569">
        <w:t>w</w:t>
      </w:r>
      <w:r w:rsidR="009978B7">
        <w:t>ider community can benefit from</w:t>
      </w:r>
      <w:r w:rsidR="0017131E">
        <w:t>,</w:t>
      </w:r>
      <w:r w:rsidR="009978B7">
        <w:t xml:space="preserve"> however </w:t>
      </w:r>
      <w:r w:rsidR="001A3569">
        <w:t>the development will be beneficial to the</w:t>
      </w:r>
      <w:r w:rsidR="0017131E">
        <w:t xml:space="preserve"> owners of the property</w:t>
      </w:r>
      <w:r w:rsidR="007913F0">
        <w:t>,</w:t>
      </w:r>
      <w:r w:rsidR="0017131E">
        <w:t xml:space="preserve"> </w:t>
      </w:r>
      <w:r w:rsidR="007913F0">
        <w:t xml:space="preserve">now and in the future, </w:t>
      </w:r>
      <w:r w:rsidR="0017131E">
        <w:t>and</w:t>
      </w:r>
      <w:r w:rsidR="001A3569">
        <w:t xml:space="preserve"> </w:t>
      </w:r>
      <w:r w:rsidR="0018246C">
        <w:t xml:space="preserve">we believe the development is safe throughout its lifetime without increasing flood risk elsewhere.  </w:t>
      </w:r>
      <w:r w:rsidR="004A6A52">
        <w:t>This can be demonstrated by the following information.</w:t>
      </w:r>
    </w:p>
    <w:p w14:paraId="665F60A8" w14:textId="77777777" w:rsidR="00323E2D" w:rsidRDefault="00323E2D" w:rsidP="004D3D39"/>
    <w:p w14:paraId="16A15AF7" w14:textId="740BF6FA" w:rsidR="004D3D39" w:rsidRPr="004D3D39" w:rsidRDefault="004D3D39" w:rsidP="004D3D39">
      <w:r w:rsidRPr="004D3D39">
        <w:t>On reviewing the Strategic Flood Risk Assessment depth mapping the peak depth for the area is considered less than 0m – 0.25m. </w:t>
      </w:r>
    </w:p>
    <w:p w14:paraId="472B647C" w14:textId="77777777" w:rsidR="004D3D39" w:rsidRPr="004D3D39" w:rsidRDefault="004D3D39" w:rsidP="004D3D39">
      <w:r w:rsidRPr="004D3D39">
        <w:t> </w:t>
      </w:r>
    </w:p>
    <w:p w14:paraId="66BAD012" w14:textId="31C558C4" w:rsidR="004D3D39" w:rsidRPr="004D3D39" w:rsidRDefault="004D3D39" w:rsidP="004D3D39">
      <w:r w:rsidRPr="004D3D39">
        <w:rPr>
          <w:noProof/>
        </w:rPr>
        <w:drawing>
          <wp:inline distT="0" distB="0" distL="0" distR="0" wp14:anchorId="6E031C9D" wp14:editId="7334203A">
            <wp:extent cx="5410200" cy="3400425"/>
            <wp:effectExtent l="0" t="0" r="0" b="9525"/>
            <wp:docPr id="530195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3400425"/>
                    </a:xfrm>
                    <a:prstGeom prst="rect">
                      <a:avLst/>
                    </a:prstGeom>
                    <a:noFill/>
                    <a:ln>
                      <a:noFill/>
                    </a:ln>
                  </pic:spPr>
                </pic:pic>
              </a:graphicData>
            </a:graphic>
          </wp:inline>
        </w:drawing>
      </w:r>
      <w:r w:rsidRPr="004D3D39">
        <w:t> </w:t>
      </w:r>
    </w:p>
    <w:p w14:paraId="27CD3961" w14:textId="77777777" w:rsidR="004D3D39" w:rsidRPr="004D3D39" w:rsidRDefault="004D3D39" w:rsidP="004D3D39">
      <w:r w:rsidRPr="004D3D39">
        <w:t> </w:t>
      </w:r>
    </w:p>
    <w:p w14:paraId="04A55E0E" w14:textId="77777777" w:rsidR="004A6A52" w:rsidRDefault="004A6A52" w:rsidP="004D3D39"/>
    <w:p w14:paraId="7F917548" w14:textId="77777777" w:rsidR="004A6A52" w:rsidRDefault="004A6A52" w:rsidP="004D3D39"/>
    <w:p w14:paraId="5492A019" w14:textId="77777777" w:rsidR="004A6A52" w:rsidRDefault="004A6A52" w:rsidP="004D3D39"/>
    <w:p w14:paraId="704E8D27" w14:textId="77777777" w:rsidR="004A6A52" w:rsidRDefault="004A6A52" w:rsidP="004D3D39"/>
    <w:p w14:paraId="1714D160" w14:textId="77777777" w:rsidR="004A6A52" w:rsidRDefault="004A6A52" w:rsidP="004D3D39"/>
    <w:p w14:paraId="5FA5357C" w14:textId="77777777" w:rsidR="0017131E" w:rsidRDefault="0017131E" w:rsidP="004D3D39"/>
    <w:p w14:paraId="3FEFD928" w14:textId="77777777" w:rsidR="0017131E" w:rsidRDefault="0017131E" w:rsidP="004D3D39"/>
    <w:p w14:paraId="6B503E42" w14:textId="77777777" w:rsidR="0017131E" w:rsidRDefault="0017131E" w:rsidP="004D3D39"/>
    <w:p w14:paraId="17965465" w14:textId="77777777" w:rsidR="0017131E" w:rsidRDefault="0017131E" w:rsidP="004D3D39"/>
    <w:p w14:paraId="65D7857F" w14:textId="77777777" w:rsidR="004A6A52" w:rsidRDefault="004A6A52" w:rsidP="004D3D39"/>
    <w:p w14:paraId="071EF4DD" w14:textId="10644173" w:rsidR="004D3D39" w:rsidRPr="004D3D39" w:rsidRDefault="004D3D39" w:rsidP="004D3D39">
      <w:r w:rsidRPr="004D3D39">
        <w:lastRenderedPageBreak/>
        <w:t>On referring to the strategic flood risk assessment hazard mapping, the maximum hazard for the area is considered to be less than 0.75 (low hazard). </w:t>
      </w:r>
      <w:r w:rsidR="00047F2E">
        <w:t xml:space="preserve"> </w:t>
      </w:r>
    </w:p>
    <w:p w14:paraId="49A485B8" w14:textId="77777777" w:rsidR="004D3D39" w:rsidRPr="004D3D39" w:rsidRDefault="004D3D39" w:rsidP="004D3D39">
      <w:r w:rsidRPr="004D3D39">
        <w:t> </w:t>
      </w:r>
    </w:p>
    <w:p w14:paraId="47AACFF7" w14:textId="1CCA7869" w:rsidR="004D3D39" w:rsidRPr="004D3D39" w:rsidRDefault="004D3D39" w:rsidP="004D3D39">
      <w:r w:rsidRPr="004D3D39">
        <w:rPr>
          <w:noProof/>
        </w:rPr>
        <w:drawing>
          <wp:inline distT="0" distB="0" distL="0" distR="0" wp14:anchorId="086DA7B4" wp14:editId="33D2E524">
            <wp:extent cx="5457825" cy="3314700"/>
            <wp:effectExtent l="0" t="0" r="9525" b="0"/>
            <wp:docPr id="1548411172" name="Picture 6"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11172" name="Picture 6" descr="A map with a red l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314700"/>
                    </a:xfrm>
                    <a:prstGeom prst="rect">
                      <a:avLst/>
                    </a:prstGeom>
                    <a:noFill/>
                    <a:ln>
                      <a:noFill/>
                    </a:ln>
                  </pic:spPr>
                </pic:pic>
              </a:graphicData>
            </a:graphic>
          </wp:inline>
        </w:drawing>
      </w:r>
      <w:r w:rsidRPr="004D3D39">
        <w:t> </w:t>
      </w:r>
    </w:p>
    <w:p w14:paraId="7EF914B0" w14:textId="77777777" w:rsidR="004D3D39" w:rsidRPr="004D3D39" w:rsidRDefault="004D3D39" w:rsidP="004D3D39">
      <w:r w:rsidRPr="004D3D39">
        <w:t> </w:t>
      </w:r>
    </w:p>
    <w:p w14:paraId="349B9B99" w14:textId="35036E5B" w:rsidR="004D3D39" w:rsidRPr="004D3D39" w:rsidRDefault="004D3D39" w:rsidP="004D3D39">
      <w:r w:rsidRPr="004D3D39">
        <w:t>On reviewing the Surface Water Flooding on the Environment Agencies website</w:t>
      </w:r>
      <w:r w:rsidR="007913F0">
        <w:t xml:space="preserve"> for this area</w:t>
      </w:r>
      <w:r w:rsidRPr="004D3D39">
        <w:t>, surface water flooding is considered ‘very low’, less than 0.1% chance of flooding each year. </w:t>
      </w:r>
    </w:p>
    <w:p w14:paraId="50AD1991" w14:textId="77777777" w:rsidR="004D3D39" w:rsidRPr="004D3D39" w:rsidRDefault="004D3D39" w:rsidP="004D3D39">
      <w:r w:rsidRPr="004D3D39">
        <w:t> </w:t>
      </w:r>
    </w:p>
    <w:p w14:paraId="1BBAB97A" w14:textId="312D8345" w:rsidR="004D3D39" w:rsidRPr="004D3D39" w:rsidRDefault="004D3D39" w:rsidP="004D3D39">
      <w:r w:rsidRPr="004D3D39">
        <w:rPr>
          <w:noProof/>
        </w:rPr>
        <w:drawing>
          <wp:inline distT="0" distB="0" distL="0" distR="0" wp14:anchorId="71C750D2" wp14:editId="36E959F9">
            <wp:extent cx="5731510" cy="3604895"/>
            <wp:effectExtent l="0" t="0" r="2540" b="0"/>
            <wp:docPr id="1058931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04895"/>
                    </a:xfrm>
                    <a:prstGeom prst="rect">
                      <a:avLst/>
                    </a:prstGeom>
                    <a:noFill/>
                    <a:ln>
                      <a:noFill/>
                    </a:ln>
                  </pic:spPr>
                </pic:pic>
              </a:graphicData>
            </a:graphic>
          </wp:inline>
        </w:drawing>
      </w:r>
      <w:r w:rsidRPr="004D3D39">
        <w:t> </w:t>
      </w:r>
    </w:p>
    <w:p w14:paraId="00224C29" w14:textId="77777777" w:rsidR="004A6A52" w:rsidRDefault="004A6A52" w:rsidP="004D3D39"/>
    <w:p w14:paraId="5C77E46B" w14:textId="77777777" w:rsidR="004A6A52" w:rsidRDefault="004A6A52" w:rsidP="004D3D39"/>
    <w:p w14:paraId="3B96BBB7" w14:textId="77777777" w:rsidR="008F375C" w:rsidRDefault="008F375C" w:rsidP="004D3D39"/>
    <w:p w14:paraId="7A2548A8" w14:textId="7A3A2FE0" w:rsidR="008F375C" w:rsidRDefault="008F375C" w:rsidP="004D3D39">
      <w:pPr>
        <w:rPr>
          <w:b/>
          <w:bCs/>
        </w:rPr>
      </w:pPr>
      <w:r w:rsidRPr="008F375C">
        <w:rPr>
          <w:b/>
          <w:bCs/>
        </w:rPr>
        <w:lastRenderedPageBreak/>
        <w:t>Climate Change Allowances</w:t>
      </w:r>
    </w:p>
    <w:p w14:paraId="7EAEC3FC" w14:textId="77777777" w:rsidR="00FD48F7" w:rsidRDefault="00FD48F7" w:rsidP="004D3D39">
      <w:pPr>
        <w:rPr>
          <w:b/>
          <w:bCs/>
        </w:rPr>
      </w:pPr>
    </w:p>
    <w:p w14:paraId="1AC88B53" w14:textId="2B024901" w:rsidR="00FD48F7" w:rsidRDefault="00FD48F7" w:rsidP="00FD48F7">
      <w:r>
        <w:t xml:space="preserve">The Environment Agency states climate change will increase flood risk due to overtopping of defences.  </w:t>
      </w:r>
      <w:r w:rsidR="00047F2E">
        <w:t>T</w:t>
      </w:r>
      <w:r>
        <w:t>he climate change data included has an allowance for 20% increase in flow.</w:t>
      </w:r>
    </w:p>
    <w:p w14:paraId="18D5FC05" w14:textId="42F3A730" w:rsidR="008F375C" w:rsidRDefault="008F375C" w:rsidP="004D3D39"/>
    <w:p w14:paraId="6E778244" w14:textId="471CFCDC" w:rsidR="008F375C" w:rsidRDefault="008F375C" w:rsidP="004D3D39">
      <w:r>
        <w:t xml:space="preserve">The following table provides the </w:t>
      </w:r>
      <w:r w:rsidRPr="008A5C1F">
        <w:rPr>
          <w:b/>
          <w:bCs/>
        </w:rPr>
        <w:t>peak river flow</w:t>
      </w:r>
      <w:r>
        <w:t xml:space="preserve"> allowances for </w:t>
      </w:r>
      <w:r w:rsidR="00B33F21">
        <w:t>the Welland Management Catchment</w:t>
      </w:r>
      <w:r w:rsidR="00FD48F7">
        <w:t>/Anglian River basin district</w:t>
      </w:r>
    </w:p>
    <w:p w14:paraId="1EDF5E27" w14:textId="77777777" w:rsidR="00B33F21" w:rsidRDefault="00B33F21" w:rsidP="004D3D39"/>
    <w:p w14:paraId="488FD9DB" w14:textId="1F5008EF" w:rsidR="00B33F21" w:rsidRDefault="00B33F21" w:rsidP="004D3D39">
      <w:r>
        <w:tab/>
      </w:r>
      <w:r>
        <w:tab/>
        <w:t>Central</w:t>
      </w:r>
      <w:r>
        <w:tab/>
      </w:r>
      <w:r>
        <w:tab/>
        <w:t>Higher</w:t>
      </w:r>
      <w:r>
        <w:tab/>
      </w:r>
      <w:r>
        <w:tab/>
        <w:t>Upper</w:t>
      </w:r>
    </w:p>
    <w:p w14:paraId="576C2182" w14:textId="77777777" w:rsidR="00B33F21" w:rsidRDefault="00B33F21" w:rsidP="004D3D39"/>
    <w:p w14:paraId="7BD19B83" w14:textId="426709F1" w:rsidR="00B33F21" w:rsidRDefault="00B33F21" w:rsidP="004D3D39">
      <w:r>
        <w:t xml:space="preserve">2020s </w:t>
      </w:r>
      <w:r>
        <w:tab/>
      </w:r>
      <w:r>
        <w:tab/>
        <w:t>5%</w:t>
      </w:r>
      <w:r>
        <w:tab/>
      </w:r>
      <w:r>
        <w:tab/>
        <w:t>10%</w:t>
      </w:r>
      <w:r>
        <w:tab/>
      </w:r>
      <w:r>
        <w:tab/>
        <w:t>22%</w:t>
      </w:r>
    </w:p>
    <w:p w14:paraId="2AAAAA8E" w14:textId="75B88077" w:rsidR="00B33F21" w:rsidRDefault="00B33F21" w:rsidP="004D3D39">
      <w:r>
        <w:t>2050s</w:t>
      </w:r>
      <w:r>
        <w:tab/>
      </w:r>
      <w:r>
        <w:tab/>
        <w:t>4%</w:t>
      </w:r>
      <w:r>
        <w:tab/>
      </w:r>
      <w:r>
        <w:tab/>
        <w:t>10%</w:t>
      </w:r>
      <w:r>
        <w:tab/>
      </w:r>
      <w:r>
        <w:tab/>
        <w:t>26%</w:t>
      </w:r>
    </w:p>
    <w:p w14:paraId="2A689662" w14:textId="78428807" w:rsidR="00B33F21" w:rsidRDefault="00B33F21" w:rsidP="004D3D39">
      <w:r>
        <w:t>2080s</w:t>
      </w:r>
      <w:r>
        <w:tab/>
      </w:r>
      <w:r>
        <w:tab/>
        <w:t>17%</w:t>
      </w:r>
      <w:r>
        <w:tab/>
      </w:r>
      <w:r>
        <w:tab/>
        <w:t>28%</w:t>
      </w:r>
      <w:r>
        <w:tab/>
      </w:r>
      <w:r>
        <w:tab/>
        <w:t>53%</w:t>
      </w:r>
    </w:p>
    <w:p w14:paraId="078E16B0" w14:textId="77777777" w:rsidR="00B33F21" w:rsidRDefault="00B33F21" w:rsidP="004D3D39"/>
    <w:p w14:paraId="069162CB" w14:textId="1B30253F" w:rsidR="00B33F21" w:rsidRDefault="00B33F21" w:rsidP="004D3D39">
      <w:r>
        <w:t>The Environment Agency advises using the Central allowance for less vulnerable developments.</w:t>
      </w:r>
    </w:p>
    <w:p w14:paraId="587CB8C0" w14:textId="77777777" w:rsidR="008F375C" w:rsidRDefault="008F375C" w:rsidP="004D3D39"/>
    <w:p w14:paraId="00ACFB5D" w14:textId="33CDFA9A" w:rsidR="009E7EEF" w:rsidRDefault="009E7EEF" w:rsidP="004D3D39">
      <w:r>
        <w:t xml:space="preserve">The following table provides the </w:t>
      </w:r>
      <w:r w:rsidRPr="008A5C1F">
        <w:rPr>
          <w:b/>
          <w:bCs/>
        </w:rPr>
        <w:t>peak rainfall</w:t>
      </w:r>
      <w:r>
        <w:t xml:space="preserve"> allowances for the Welland Management Catchment</w:t>
      </w:r>
      <w:r w:rsidR="00FD48F7">
        <w:t xml:space="preserve">/Anglian River </w:t>
      </w:r>
      <w:r w:rsidR="00824219">
        <w:t>b</w:t>
      </w:r>
      <w:r w:rsidR="00FD48F7">
        <w:t>asin district</w:t>
      </w:r>
    </w:p>
    <w:p w14:paraId="6BF070AC" w14:textId="77777777" w:rsidR="009E7EEF" w:rsidRDefault="009E7EEF" w:rsidP="004D3D39"/>
    <w:p w14:paraId="2B976886" w14:textId="77777777" w:rsidR="009E7EEF" w:rsidRDefault="009E7EEF" w:rsidP="004D3D39">
      <w:r>
        <w:t>3.3% annual exceedance rainfall event</w:t>
      </w:r>
    </w:p>
    <w:p w14:paraId="725BE643" w14:textId="77777777" w:rsidR="009E7EEF" w:rsidRDefault="009E7EEF" w:rsidP="004D3D39"/>
    <w:p w14:paraId="319644F0" w14:textId="50782685" w:rsidR="009E7EEF" w:rsidRDefault="009E7EEF" w:rsidP="004D3D39">
      <w:r>
        <w:tab/>
      </w:r>
      <w:r>
        <w:tab/>
        <w:t>Central</w:t>
      </w:r>
      <w:r>
        <w:tab/>
      </w:r>
      <w:r>
        <w:tab/>
        <w:t>Upper</w:t>
      </w:r>
    </w:p>
    <w:p w14:paraId="1598DC38" w14:textId="18B3A1CF" w:rsidR="008F375C" w:rsidRDefault="009E7EEF" w:rsidP="004D3D39">
      <w:r>
        <w:t xml:space="preserve">2050s </w:t>
      </w:r>
      <w:r>
        <w:tab/>
      </w:r>
      <w:r>
        <w:tab/>
        <w:t>20%</w:t>
      </w:r>
      <w:r>
        <w:tab/>
      </w:r>
      <w:r>
        <w:tab/>
        <w:t>35%</w:t>
      </w:r>
    </w:p>
    <w:p w14:paraId="1D74EF06" w14:textId="497D4B78" w:rsidR="009E7EEF" w:rsidRDefault="009E7EEF" w:rsidP="004D3D39">
      <w:r>
        <w:t>2070s</w:t>
      </w:r>
      <w:r>
        <w:tab/>
      </w:r>
      <w:r>
        <w:tab/>
        <w:t>25%</w:t>
      </w:r>
      <w:r>
        <w:tab/>
      </w:r>
      <w:r>
        <w:tab/>
        <w:t>35%</w:t>
      </w:r>
    </w:p>
    <w:p w14:paraId="34963680" w14:textId="77777777" w:rsidR="009E7EEF" w:rsidRDefault="009E7EEF" w:rsidP="004D3D39"/>
    <w:p w14:paraId="31AF7E49" w14:textId="6B34E99A" w:rsidR="009E7EEF" w:rsidRDefault="009E7EEF" w:rsidP="004D3D39">
      <w:r>
        <w:t>1% annual exceedance rainfall event</w:t>
      </w:r>
    </w:p>
    <w:p w14:paraId="64C72335" w14:textId="77777777" w:rsidR="009E7EEF" w:rsidRDefault="009E7EEF" w:rsidP="004D3D39"/>
    <w:p w14:paraId="4F248883" w14:textId="3269C32B" w:rsidR="009E7EEF" w:rsidRDefault="009E7EEF" w:rsidP="004D3D39">
      <w:r>
        <w:tab/>
      </w:r>
      <w:r>
        <w:tab/>
        <w:t>Central</w:t>
      </w:r>
      <w:r>
        <w:tab/>
      </w:r>
      <w:r>
        <w:tab/>
        <w:t>Upper</w:t>
      </w:r>
    </w:p>
    <w:p w14:paraId="761E50B5" w14:textId="52ECE3EE" w:rsidR="009E7EEF" w:rsidRDefault="009E7EEF" w:rsidP="004D3D39">
      <w:r>
        <w:t>2050s</w:t>
      </w:r>
      <w:r>
        <w:tab/>
      </w:r>
      <w:r>
        <w:tab/>
        <w:t>20%</w:t>
      </w:r>
      <w:r>
        <w:tab/>
      </w:r>
      <w:r>
        <w:tab/>
        <w:t>40%</w:t>
      </w:r>
    </w:p>
    <w:p w14:paraId="0DD9B425" w14:textId="51DC791A" w:rsidR="009E7EEF" w:rsidRDefault="009E7EEF" w:rsidP="004D3D39">
      <w:r>
        <w:t>2070s</w:t>
      </w:r>
      <w:r>
        <w:tab/>
      </w:r>
      <w:r>
        <w:tab/>
        <w:t>25%</w:t>
      </w:r>
      <w:r>
        <w:tab/>
      </w:r>
      <w:r>
        <w:tab/>
        <w:t>40%</w:t>
      </w:r>
    </w:p>
    <w:p w14:paraId="3FAC3E0B" w14:textId="77777777" w:rsidR="009E7EEF" w:rsidRDefault="009E7EEF" w:rsidP="004D3D39"/>
    <w:p w14:paraId="019285CE" w14:textId="05F4C0AC" w:rsidR="009E7EEF" w:rsidRDefault="00824219" w:rsidP="004D3D39">
      <w:r>
        <w:t xml:space="preserve">For our development and in line with </w:t>
      </w:r>
      <w:r w:rsidR="009E7EEF">
        <w:t xml:space="preserve">The Environment Agency </w:t>
      </w:r>
      <w:r>
        <w:t>guidelines I would</w:t>
      </w:r>
      <w:r w:rsidR="009E7EEF">
        <w:t xml:space="preserve"> </w:t>
      </w:r>
      <w:r>
        <w:t>apply</w:t>
      </w:r>
      <w:r w:rsidR="00FD48F7">
        <w:t xml:space="preserve"> the central allowance </w:t>
      </w:r>
      <w:r>
        <w:t xml:space="preserve">for the </w:t>
      </w:r>
      <w:r w:rsidR="00FD48F7">
        <w:t>2070s</w:t>
      </w:r>
      <w:r>
        <w:t xml:space="preserve"> epoch.</w:t>
      </w:r>
      <w:r w:rsidR="00FD48F7">
        <w:t xml:space="preserve"> </w:t>
      </w:r>
    </w:p>
    <w:p w14:paraId="5B2CBA4B" w14:textId="77777777" w:rsidR="008A5C1F" w:rsidRDefault="008A5C1F" w:rsidP="004D3D39"/>
    <w:p w14:paraId="670C69C6" w14:textId="11D68681" w:rsidR="008A5C1F" w:rsidRDefault="008A5C1F" w:rsidP="004D3D39">
      <w:r w:rsidRPr="008A5C1F">
        <w:rPr>
          <w:b/>
          <w:bCs/>
        </w:rPr>
        <w:t>Sea level</w:t>
      </w:r>
      <w:r>
        <w:t xml:space="preserve"> allowances </w:t>
      </w:r>
      <w:r w:rsidR="00824219">
        <w:t>for the Anglian R</w:t>
      </w:r>
      <w:r>
        <w:t xml:space="preserve">iver </w:t>
      </w:r>
      <w:r w:rsidR="00824219">
        <w:t>b</w:t>
      </w:r>
      <w:r>
        <w:t>asin district for each epoch in mm for each year (based on a 1981 to 2000 baseline) – the total sea level rise for each epoch is in brackets</w:t>
      </w:r>
    </w:p>
    <w:p w14:paraId="6E5F8F88" w14:textId="77777777" w:rsidR="008A5C1F" w:rsidRDefault="008A5C1F" w:rsidP="004D3D39"/>
    <w:p w14:paraId="33B56FB3" w14:textId="2D03E90D" w:rsidR="008A5C1F" w:rsidRDefault="008A5C1F" w:rsidP="004D3D39">
      <w:r>
        <w:t>Allowance</w:t>
      </w:r>
      <w:r>
        <w:tab/>
        <w:t xml:space="preserve">2000 to </w:t>
      </w:r>
      <w:r>
        <w:tab/>
        <w:t>2036 to</w:t>
      </w:r>
      <w:r>
        <w:tab/>
      </w:r>
      <w:r>
        <w:tab/>
        <w:t>2066 to</w:t>
      </w:r>
      <w:r>
        <w:tab/>
      </w:r>
      <w:r>
        <w:tab/>
        <w:t>2096 to</w:t>
      </w:r>
      <w:r>
        <w:tab/>
      </w:r>
      <w:r>
        <w:tab/>
        <w:t>Cumulative</w:t>
      </w:r>
    </w:p>
    <w:p w14:paraId="4F398DF5" w14:textId="07089729" w:rsidR="008A5C1F" w:rsidRDefault="008A5C1F" w:rsidP="00824219">
      <w:pPr>
        <w:ind w:left="720" w:firstLine="720"/>
      </w:pPr>
      <w:r>
        <w:t>2035(mm)</w:t>
      </w:r>
      <w:r>
        <w:tab/>
        <w:t>2065(mm)</w:t>
      </w:r>
      <w:r>
        <w:tab/>
        <w:t>2095(mm)</w:t>
      </w:r>
      <w:r>
        <w:tab/>
        <w:t>2125(mm)</w:t>
      </w:r>
      <w:r>
        <w:tab/>
        <w:t>rise 2000 to</w:t>
      </w:r>
    </w:p>
    <w:p w14:paraId="6EAA4766" w14:textId="445CBE34" w:rsidR="008A5C1F" w:rsidRDefault="008A5C1F" w:rsidP="00824219">
      <w:pPr>
        <w:ind w:left="6480" w:firstLine="720"/>
      </w:pPr>
      <w:r>
        <w:t>2125 (metres)</w:t>
      </w:r>
      <w:r>
        <w:tab/>
      </w:r>
    </w:p>
    <w:p w14:paraId="755B9892" w14:textId="77777777" w:rsidR="00824219" w:rsidRDefault="008A5C1F" w:rsidP="004D3D39">
      <w:r>
        <w:t>Higher</w:t>
      </w:r>
      <w:r>
        <w:tab/>
      </w:r>
      <w:r>
        <w:tab/>
        <w:t>5.8</w:t>
      </w:r>
      <w:r>
        <w:tab/>
      </w:r>
      <w:r>
        <w:tab/>
        <w:t>8.7</w:t>
      </w:r>
      <w:r>
        <w:tab/>
      </w:r>
      <w:r>
        <w:tab/>
        <w:t>11.6</w:t>
      </w:r>
      <w:r>
        <w:tab/>
      </w:r>
      <w:r>
        <w:tab/>
        <w:t>13</w:t>
      </w:r>
      <w:r>
        <w:tab/>
      </w:r>
      <w:r>
        <w:tab/>
        <w:t>1.20</w:t>
      </w:r>
      <w:r>
        <w:tab/>
      </w:r>
    </w:p>
    <w:p w14:paraId="5F35B9FB" w14:textId="77777777" w:rsidR="00824219" w:rsidRDefault="008A5C1F" w:rsidP="004D3D39">
      <w:r>
        <w:t>Central</w:t>
      </w:r>
      <w:r>
        <w:tab/>
      </w:r>
      <w:r>
        <w:tab/>
        <w:t>(203)</w:t>
      </w:r>
      <w:r>
        <w:tab/>
      </w:r>
      <w:r>
        <w:tab/>
        <w:t>(261)</w:t>
      </w:r>
      <w:r>
        <w:tab/>
      </w:r>
      <w:r>
        <w:tab/>
        <w:t>(348)</w:t>
      </w:r>
      <w:r>
        <w:tab/>
      </w:r>
      <w:r>
        <w:tab/>
        <w:t>(390)</w:t>
      </w:r>
      <w:r>
        <w:tab/>
      </w:r>
      <w:r>
        <w:tab/>
      </w:r>
      <w:r>
        <w:tab/>
      </w:r>
    </w:p>
    <w:p w14:paraId="451F49E4" w14:textId="4EE5C14E" w:rsidR="008A5C1F" w:rsidRDefault="008A5C1F" w:rsidP="004D3D39">
      <w:r>
        <w:t>Upper end</w:t>
      </w:r>
      <w:r>
        <w:tab/>
        <w:t>7</w:t>
      </w:r>
      <w:r>
        <w:tab/>
      </w:r>
      <w:r>
        <w:tab/>
        <w:t>11.3</w:t>
      </w:r>
      <w:r>
        <w:tab/>
      </w:r>
      <w:r>
        <w:tab/>
        <w:t>15.8</w:t>
      </w:r>
      <w:r>
        <w:tab/>
      </w:r>
      <w:r>
        <w:tab/>
        <w:t>18.1</w:t>
      </w:r>
      <w:r>
        <w:tab/>
      </w:r>
      <w:r>
        <w:tab/>
        <w:t>1.60</w:t>
      </w:r>
    </w:p>
    <w:p w14:paraId="15E70728" w14:textId="2B2CBA8F" w:rsidR="008A5C1F" w:rsidRDefault="008A5C1F" w:rsidP="004D3D39">
      <w:r>
        <w:tab/>
      </w:r>
      <w:r>
        <w:tab/>
        <w:t>(245)</w:t>
      </w:r>
      <w:r>
        <w:tab/>
      </w:r>
      <w:r>
        <w:tab/>
        <w:t>(339)</w:t>
      </w:r>
      <w:r>
        <w:tab/>
      </w:r>
      <w:r w:rsidR="00801606">
        <w:tab/>
        <w:t>(474)</w:t>
      </w:r>
      <w:r w:rsidR="00801606">
        <w:tab/>
      </w:r>
      <w:r w:rsidR="00801606">
        <w:tab/>
        <w:t>(543)</w:t>
      </w:r>
      <w:r w:rsidR="00801606">
        <w:tab/>
      </w:r>
      <w:r w:rsidR="00801606">
        <w:tab/>
      </w:r>
      <w:r>
        <w:tab/>
      </w:r>
      <w:r>
        <w:tab/>
      </w:r>
      <w:r>
        <w:tab/>
      </w:r>
      <w:r>
        <w:tab/>
      </w:r>
      <w:r>
        <w:tab/>
      </w:r>
      <w:r>
        <w:tab/>
      </w:r>
      <w:r>
        <w:tab/>
      </w:r>
    </w:p>
    <w:p w14:paraId="3D174685" w14:textId="77777777" w:rsidR="008A5C1F" w:rsidRDefault="008A5C1F" w:rsidP="004D3D39"/>
    <w:p w14:paraId="6E471C36" w14:textId="77777777" w:rsidR="00404166" w:rsidRDefault="00404166" w:rsidP="004D3D39"/>
    <w:p w14:paraId="3EBE4A60" w14:textId="77777777" w:rsidR="00824219" w:rsidRDefault="00824219" w:rsidP="004D3D39"/>
    <w:p w14:paraId="748D4EA4" w14:textId="77777777" w:rsidR="004D3CBD" w:rsidRDefault="004D3CBD" w:rsidP="004D3D39"/>
    <w:p w14:paraId="113D05A6" w14:textId="77777777" w:rsidR="004D3CBD" w:rsidRDefault="004D3CBD" w:rsidP="004D3D39"/>
    <w:p w14:paraId="5D907175" w14:textId="77777777" w:rsidR="00801606" w:rsidRDefault="00801606" w:rsidP="004D3D39"/>
    <w:p w14:paraId="592DEEFE" w14:textId="3A0D0B59" w:rsidR="00801606" w:rsidRPr="00047F2E" w:rsidRDefault="00801606" w:rsidP="004D3D39">
      <w:pPr>
        <w:rPr>
          <w:b/>
          <w:bCs/>
        </w:rPr>
      </w:pPr>
      <w:r w:rsidRPr="00047F2E">
        <w:rPr>
          <w:b/>
          <w:bCs/>
        </w:rPr>
        <w:lastRenderedPageBreak/>
        <w:t>Offshore wind speed and extreme wave height allowance</w:t>
      </w:r>
    </w:p>
    <w:p w14:paraId="6CDCECB6" w14:textId="77777777" w:rsidR="00801606" w:rsidRDefault="00801606" w:rsidP="004D3D39"/>
    <w:p w14:paraId="17ED16DA" w14:textId="2BE8D20F" w:rsidR="00801606" w:rsidRDefault="00801606" w:rsidP="004D3D39">
      <w:r>
        <w:t>Applies all around the English Coast</w:t>
      </w:r>
      <w:r>
        <w:tab/>
      </w:r>
      <w:r>
        <w:tab/>
        <w:t>2000 to 2055</w:t>
      </w:r>
      <w:r>
        <w:tab/>
      </w:r>
      <w:r>
        <w:tab/>
        <w:t>2056 to 2125</w:t>
      </w:r>
    </w:p>
    <w:p w14:paraId="3504A361" w14:textId="368EC8B2" w:rsidR="00801606" w:rsidRDefault="00801606" w:rsidP="004D3D39">
      <w:r>
        <w:t>Offshore wind speed allowance</w:t>
      </w:r>
      <w:r>
        <w:tab/>
      </w:r>
      <w:r>
        <w:tab/>
      </w:r>
      <w:r>
        <w:tab/>
        <w:t>5%</w:t>
      </w:r>
      <w:r>
        <w:tab/>
      </w:r>
      <w:r>
        <w:tab/>
      </w:r>
      <w:r>
        <w:tab/>
        <w:t>10%</w:t>
      </w:r>
    </w:p>
    <w:p w14:paraId="4ECC805E" w14:textId="09D39E87" w:rsidR="00801606" w:rsidRDefault="00801606" w:rsidP="004D3D39">
      <w:r>
        <w:t>Offshore wind speed sensitivity test</w:t>
      </w:r>
      <w:r>
        <w:tab/>
      </w:r>
      <w:r>
        <w:tab/>
        <w:t>10%</w:t>
      </w:r>
      <w:r>
        <w:tab/>
      </w:r>
      <w:r>
        <w:tab/>
      </w:r>
      <w:r>
        <w:tab/>
        <w:t>10%</w:t>
      </w:r>
    </w:p>
    <w:p w14:paraId="2CE7F31F" w14:textId="76ADD5A2" w:rsidR="00801606" w:rsidRDefault="00801606" w:rsidP="004D3D39">
      <w:r>
        <w:t>Extreme wave height allowance</w:t>
      </w:r>
      <w:r>
        <w:tab/>
      </w:r>
      <w:r>
        <w:tab/>
      </w:r>
      <w:r>
        <w:tab/>
        <w:t>5%</w:t>
      </w:r>
      <w:r>
        <w:tab/>
      </w:r>
      <w:r>
        <w:tab/>
      </w:r>
      <w:r>
        <w:tab/>
        <w:t>10%</w:t>
      </w:r>
    </w:p>
    <w:p w14:paraId="6E710EEC" w14:textId="0D4558F6" w:rsidR="00801606" w:rsidRDefault="00801606" w:rsidP="004D3D39">
      <w:r>
        <w:t>Extreme wave height sensitivity test</w:t>
      </w:r>
      <w:r>
        <w:tab/>
      </w:r>
      <w:r>
        <w:tab/>
        <w:t>10%</w:t>
      </w:r>
      <w:r>
        <w:tab/>
      </w:r>
      <w:r>
        <w:tab/>
      </w:r>
      <w:r>
        <w:tab/>
        <w:t>10%</w:t>
      </w:r>
    </w:p>
    <w:p w14:paraId="0B78D58F" w14:textId="77777777" w:rsidR="003D74D1" w:rsidRDefault="003D74D1" w:rsidP="004D3D39"/>
    <w:p w14:paraId="656A4314" w14:textId="3D837AD0" w:rsidR="004D3D39" w:rsidRDefault="004D3D39" w:rsidP="004D3D39">
      <w:r w:rsidRPr="004D3D39">
        <w:t xml:space="preserve">The development of the drop kerb </w:t>
      </w:r>
      <w:r w:rsidR="00047F2E">
        <w:t xml:space="preserve">should not be impacted by climate change </w:t>
      </w:r>
      <w:r w:rsidR="004D3CBD">
        <w:t xml:space="preserve">due to the minimum changes that will be made.  The development </w:t>
      </w:r>
      <w:r w:rsidRPr="004D3D39">
        <w:t xml:space="preserve">will not increase flood risk elsewhere as existing drainage systems on the road and surrounding areas will </w:t>
      </w:r>
      <w:r w:rsidR="0017131E">
        <w:t xml:space="preserve">be unaffected and will </w:t>
      </w:r>
      <w:r w:rsidRPr="004D3D39">
        <w:t>continue to be effective.  </w:t>
      </w:r>
      <w:r w:rsidR="00DC766F">
        <w:t xml:space="preserve">There are currently drains </w:t>
      </w:r>
      <w:r w:rsidR="009C178E">
        <w:t xml:space="preserve">situated </w:t>
      </w:r>
      <w:r w:rsidR="00DC766F">
        <w:t>every 3-4 metres</w:t>
      </w:r>
      <w:r w:rsidR="009C178E">
        <w:t xml:space="preserve"> along the road, which provide sufficient drainage.</w:t>
      </w:r>
    </w:p>
    <w:p w14:paraId="53D9E7CB" w14:textId="77777777" w:rsidR="0017131E" w:rsidRPr="004D3D39" w:rsidRDefault="0017131E" w:rsidP="004D3D39"/>
    <w:p w14:paraId="16757F48" w14:textId="3B839070" w:rsidR="004D3D39" w:rsidRPr="004D3D39" w:rsidRDefault="004D3D39" w:rsidP="004D3D39">
      <w:r w:rsidRPr="004D3D39">
        <w:t xml:space="preserve">We have consulted with one of Lincolnshire Councils approved suppliers, Breaker Surfacing Ltd, who will install the drop kerb in-line with the Lincolnshire Highways specifications using permeable materials to allow drainage. </w:t>
      </w:r>
      <w:r w:rsidR="005F0728">
        <w:t xml:space="preserve"> </w:t>
      </w:r>
      <w:r w:rsidRPr="004D3D39">
        <w:t>Due to the design of the driveway, no water will flow from our property onto the highway.  </w:t>
      </w:r>
    </w:p>
    <w:p w14:paraId="149AB1DC" w14:textId="33749DA7" w:rsidR="004D3D39" w:rsidRPr="004D3D39" w:rsidRDefault="004D3D39" w:rsidP="004D3D39">
      <w:r w:rsidRPr="004D3D39">
        <w:t>  </w:t>
      </w:r>
    </w:p>
    <w:p w14:paraId="0DA5F361" w14:textId="7AAB5CD6" w:rsidR="004D3D39" w:rsidRPr="004D3D39" w:rsidRDefault="004D3D39" w:rsidP="004D3D39">
      <w:r w:rsidRPr="004D3D39">
        <w:t> </w:t>
      </w:r>
    </w:p>
    <w:p w14:paraId="32769B64" w14:textId="77777777" w:rsidR="004D3D39" w:rsidRPr="004D3D39" w:rsidRDefault="004D3D39" w:rsidP="004D3D39"/>
    <w:p w14:paraId="0B342C4A" w14:textId="77777777" w:rsidR="004D3D39" w:rsidRPr="004D3D39" w:rsidRDefault="004D3D39" w:rsidP="004D3D39"/>
    <w:p w14:paraId="797FBB38" w14:textId="77777777" w:rsidR="00101A7B" w:rsidRPr="00390F6B" w:rsidRDefault="00101A7B" w:rsidP="00390F6B"/>
    <w:sectPr w:rsidR="00101A7B" w:rsidRPr="00390F6B" w:rsidSect="00B04E27">
      <w:endnotePr>
        <w:numFmt w:val="decimal"/>
        <w:numStart w:val="0"/>
      </w:endnotePr>
      <w:pgSz w:w="11906" w:h="16838" w:code="9"/>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5E8B" w14:textId="77777777" w:rsidR="004D3D39" w:rsidRDefault="004D3D39" w:rsidP="000E0110">
      <w:r>
        <w:separator/>
      </w:r>
    </w:p>
  </w:endnote>
  <w:endnote w:type="continuationSeparator" w:id="0">
    <w:p w14:paraId="6490887E" w14:textId="77777777" w:rsidR="004D3D39" w:rsidRDefault="004D3D39" w:rsidP="000E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9C79" w14:textId="77777777" w:rsidR="004D3D39" w:rsidRDefault="004D3D39" w:rsidP="000E0110">
      <w:r>
        <w:separator/>
      </w:r>
    </w:p>
  </w:footnote>
  <w:footnote w:type="continuationSeparator" w:id="0">
    <w:p w14:paraId="5521A726" w14:textId="77777777" w:rsidR="004D3D39" w:rsidRDefault="004D3D39" w:rsidP="000E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C04"/>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962D2F"/>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7B4099"/>
    <w:multiLevelType w:val="hybridMultilevel"/>
    <w:tmpl w:val="6A7CA0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051B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6F315E"/>
    <w:multiLevelType w:val="multilevel"/>
    <w:tmpl w:val="4BEAE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4D0AF3"/>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CE3A88"/>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155478"/>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6721AA"/>
    <w:multiLevelType w:val="multilevel"/>
    <w:tmpl w:val="73E0B8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D475FA"/>
    <w:multiLevelType w:val="hybridMultilevel"/>
    <w:tmpl w:val="8FECC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31786"/>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915C3"/>
    <w:multiLevelType w:val="multilevel"/>
    <w:tmpl w:val="E60AA858"/>
    <w:numStyleLink w:val="Buckles-Outline"/>
  </w:abstractNum>
  <w:abstractNum w:abstractNumId="12" w15:restartNumberingAfterBreak="0">
    <w:nsid w:val="38392708"/>
    <w:multiLevelType w:val="multilevel"/>
    <w:tmpl w:val="E60AA858"/>
    <w:styleLink w:val="Buckles-Outline"/>
    <w:lvl w:ilvl="0">
      <w:start w:val="1"/>
      <w:numFmt w:val="decimal"/>
      <w:pStyle w:val="Heading1"/>
      <w:lvlText w:val="%1."/>
      <w:lvlJc w:val="left"/>
      <w:pPr>
        <w:tabs>
          <w:tab w:val="num" w:pos="720"/>
        </w:tabs>
        <w:ind w:left="720" w:hanging="720"/>
      </w:pPr>
      <w:rPr>
        <w:rFonts w:ascii="Calibri" w:hAnsi="Calibri" w:hint="default"/>
        <w:b w:val="0"/>
        <w:i w:val="0"/>
        <w:sz w:val="22"/>
      </w:rPr>
    </w:lvl>
    <w:lvl w:ilvl="1">
      <w:start w:val="1"/>
      <w:numFmt w:val="decimal"/>
      <w:pStyle w:val="Heading2"/>
      <w:lvlText w:val="%1.%2."/>
      <w:lvlJc w:val="left"/>
      <w:pPr>
        <w:tabs>
          <w:tab w:val="num" w:pos="720"/>
        </w:tabs>
        <w:ind w:left="720" w:hanging="720"/>
      </w:pPr>
      <w:rPr>
        <w:rFonts w:ascii="Calibri" w:hAnsi="Calibri" w:hint="default"/>
        <w:sz w:val="22"/>
      </w:rPr>
    </w:lvl>
    <w:lvl w:ilvl="2">
      <w:start w:val="1"/>
      <w:numFmt w:val="decimal"/>
      <w:pStyle w:val="Heading3"/>
      <w:lvlText w:val="%1.%2.%3."/>
      <w:lvlJc w:val="left"/>
      <w:pPr>
        <w:tabs>
          <w:tab w:val="num" w:pos="1800"/>
        </w:tabs>
        <w:ind w:left="1800" w:hanging="1080"/>
      </w:pPr>
      <w:rPr>
        <w:rFonts w:ascii="Calibri" w:hAnsi="Calibri" w:hint="default"/>
        <w:sz w:val="22"/>
      </w:rPr>
    </w:lvl>
    <w:lvl w:ilvl="3">
      <w:start w:val="1"/>
      <w:numFmt w:val="decimal"/>
      <w:pStyle w:val="Heading4"/>
      <w:lvlText w:val="%1.%2.%3.%4."/>
      <w:lvlJc w:val="left"/>
      <w:pPr>
        <w:tabs>
          <w:tab w:val="num" w:pos="2880"/>
        </w:tabs>
        <w:ind w:left="2880" w:hanging="1080"/>
      </w:pPr>
      <w:rPr>
        <w:rFonts w:ascii="Calibri" w:hAnsi="Calibri" w:hint="default"/>
        <w:sz w:val="22"/>
      </w:rPr>
    </w:lvl>
    <w:lvl w:ilvl="4">
      <w:start w:val="1"/>
      <w:numFmt w:val="lowerRoman"/>
      <w:pStyle w:val="Heading5"/>
      <w:lvlText w:val="(%5)"/>
      <w:lvlJc w:val="left"/>
      <w:pPr>
        <w:tabs>
          <w:tab w:val="num" w:pos="3600"/>
        </w:tabs>
        <w:ind w:left="3600" w:hanging="720"/>
      </w:pPr>
      <w:rPr>
        <w:rFonts w:ascii="Calibri" w:hAnsi="Calibri" w:hint="default"/>
        <w:sz w:val="22"/>
      </w:rPr>
    </w:lvl>
    <w:lvl w:ilvl="5">
      <w:start w:val="1"/>
      <w:numFmt w:val="lowerLetter"/>
      <w:pStyle w:val="Heading6"/>
      <w:lvlText w:val="(%6)"/>
      <w:lvlJc w:val="left"/>
      <w:pPr>
        <w:tabs>
          <w:tab w:val="num" w:pos="4320"/>
        </w:tabs>
        <w:ind w:left="4320" w:hanging="720"/>
      </w:pPr>
      <w:rPr>
        <w:rFonts w:ascii="Calibri" w:hAnsi="Calibri"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225B4E"/>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285013"/>
    <w:multiLevelType w:val="hybridMultilevel"/>
    <w:tmpl w:val="C674DF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980287"/>
    <w:multiLevelType w:val="multilevel"/>
    <w:tmpl w:val="696E354A"/>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043A5E"/>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553C1D"/>
    <w:multiLevelType w:val="singleLevel"/>
    <w:tmpl w:val="D1E033E0"/>
    <w:lvl w:ilvl="0">
      <w:start w:val="1"/>
      <w:numFmt w:val="decimal"/>
      <w:lvlText w:val="%1."/>
      <w:legacy w:legacy="1" w:legacySpace="0" w:legacyIndent="360"/>
      <w:lvlJc w:val="left"/>
      <w:pPr>
        <w:ind w:left="360" w:hanging="360"/>
      </w:pPr>
    </w:lvl>
  </w:abstractNum>
  <w:abstractNum w:abstractNumId="18" w15:restartNumberingAfterBreak="0">
    <w:nsid w:val="6EEE0123"/>
    <w:multiLevelType w:val="multilevel"/>
    <w:tmpl w:val="E60AA858"/>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880"/>
        </w:tabs>
        <w:ind w:left="2880" w:hanging="108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1386285">
    <w:abstractNumId w:val="3"/>
  </w:num>
  <w:num w:numId="2" w16cid:durableId="1841459466">
    <w:abstractNumId w:val="10"/>
  </w:num>
  <w:num w:numId="3" w16cid:durableId="151801963">
    <w:abstractNumId w:val="1"/>
    <w:lvlOverride w:ilvl="0">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439953165">
    <w:abstractNumId w:val="5"/>
  </w:num>
  <w:num w:numId="5" w16cid:durableId="1832022028">
    <w:abstractNumId w:val="16"/>
  </w:num>
  <w:num w:numId="6" w16cid:durableId="238177422">
    <w:abstractNumId w:val="7"/>
  </w:num>
  <w:num w:numId="7" w16cid:durableId="1883785220">
    <w:abstractNumId w:val="18"/>
  </w:num>
  <w:num w:numId="8" w16cid:durableId="1705977974">
    <w:abstractNumId w:val="13"/>
  </w:num>
  <w:num w:numId="9" w16cid:durableId="1125654760">
    <w:abstractNumId w:val="6"/>
  </w:num>
  <w:num w:numId="10" w16cid:durableId="2054234032">
    <w:abstractNumId w:val="0"/>
  </w:num>
  <w:num w:numId="11" w16cid:durableId="1113742268">
    <w:abstractNumId w:val="0"/>
  </w:num>
  <w:num w:numId="12" w16cid:durableId="1989360903">
    <w:abstractNumId w:val="0"/>
  </w:num>
  <w:num w:numId="13" w16cid:durableId="824054260">
    <w:abstractNumId w:val="0"/>
  </w:num>
  <w:num w:numId="14" w16cid:durableId="1818298454">
    <w:abstractNumId w:val="0"/>
  </w:num>
  <w:num w:numId="15" w16cid:durableId="807553796">
    <w:abstractNumId w:val="0"/>
  </w:num>
  <w:num w:numId="16" w16cid:durableId="577330809">
    <w:abstractNumId w:val="0"/>
  </w:num>
  <w:num w:numId="17" w16cid:durableId="1921063525">
    <w:abstractNumId w:val="15"/>
    <w:lvlOverride w:ilvl="0">
      <w:lvl w:ilvl="0">
        <w:start w:val="1"/>
        <w:numFmt w:val="decimal"/>
        <w:lvlText w:val="%1."/>
        <w:lvlJc w:val="left"/>
        <w:pPr>
          <w:tabs>
            <w:tab w:val="num" w:pos="720"/>
          </w:tabs>
          <w:ind w:left="720" w:hanging="720"/>
        </w:pPr>
        <w:rPr>
          <w:rFonts w:ascii="Arial" w:hAnsi="Arial" w:hint="default"/>
          <w:b w:val="0"/>
          <w:i w:val="0"/>
          <w:sz w:val="22"/>
        </w:rPr>
      </w:lvl>
    </w:lvlOverride>
  </w:num>
  <w:num w:numId="18" w16cid:durableId="918252164">
    <w:abstractNumId w:val="17"/>
  </w:num>
  <w:num w:numId="19" w16cid:durableId="442380575">
    <w:abstractNumId w:val="2"/>
  </w:num>
  <w:num w:numId="20" w16cid:durableId="151334167">
    <w:abstractNumId w:val="14"/>
  </w:num>
  <w:num w:numId="21" w16cid:durableId="402723364">
    <w:abstractNumId w:val="15"/>
    <w:lvlOverride w:ilvl="0">
      <w:lvl w:ilvl="0">
        <w:start w:val="1"/>
        <w:numFmt w:val="decimal"/>
        <w:lvlText w:val="%1."/>
        <w:lvlJc w:val="left"/>
        <w:pPr>
          <w:tabs>
            <w:tab w:val="num" w:pos="720"/>
          </w:tabs>
          <w:ind w:left="720" w:hanging="720"/>
        </w:pPr>
        <w:rPr>
          <w:rFonts w:ascii="Arial" w:hAnsi="Arial" w:hint="default"/>
          <w:b w:val="0"/>
          <w:i w:val="0"/>
          <w:sz w:val="22"/>
        </w:rPr>
      </w:lvl>
    </w:lvlOverride>
  </w:num>
  <w:num w:numId="22" w16cid:durableId="1303268804">
    <w:abstractNumId w:val="15"/>
    <w:lvlOverride w:ilvl="0">
      <w:lvl w:ilvl="0">
        <w:start w:val="1"/>
        <w:numFmt w:val="decimal"/>
        <w:lvlText w:val="%1."/>
        <w:lvlJc w:val="left"/>
        <w:pPr>
          <w:tabs>
            <w:tab w:val="num" w:pos="720"/>
          </w:tabs>
          <w:ind w:left="720" w:hanging="720"/>
        </w:pPr>
        <w:rPr>
          <w:rFonts w:ascii="Arial" w:hAnsi="Arial" w:hint="default"/>
          <w:b w:val="0"/>
          <w:i w:val="0"/>
          <w:sz w:val="22"/>
        </w:rPr>
      </w:lvl>
    </w:lvlOverride>
  </w:num>
  <w:num w:numId="23" w16cid:durableId="700593350">
    <w:abstractNumId w:val="15"/>
    <w:lvlOverride w:ilvl="0">
      <w:lvl w:ilvl="0">
        <w:start w:val="1"/>
        <w:numFmt w:val="decimal"/>
        <w:lvlText w:val="%1."/>
        <w:lvlJc w:val="left"/>
        <w:pPr>
          <w:tabs>
            <w:tab w:val="num" w:pos="720"/>
          </w:tabs>
          <w:ind w:left="720" w:hanging="720"/>
        </w:pPr>
        <w:rPr>
          <w:rFonts w:ascii="Arial" w:hAnsi="Arial" w:hint="default"/>
          <w:b w:val="0"/>
          <w:i w:val="0"/>
          <w:sz w:val="22"/>
        </w:rPr>
      </w:lvl>
    </w:lvlOverride>
  </w:num>
  <w:num w:numId="24" w16cid:durableId="1339043058">
    <w:abstractNumId w:val="15"/>
    <w:lvlOverride w:ilvl="0">
      <w:lvl w:ilvl="0">
        <w:start w:val="1"/>
        <w:numFmt w:val="decimal"/>
        <w:lvlText w:val="%1."/>
        <w:lvlJc w:val="left"/>
        <w:pPr>
          <w:tabs>
            <w:tab w:val="num" w:pos="720"/>
          </w:tabs>
          <w:ind w:left="720" w:hanging="720"/>
        </w:pPr>
        <w:rPr>
          <w:rFonts w:ascii="Arial" w:hAnsi="Arial" w:hint="default"/>
          <w:b w:val="0"/>
          <w:i w:val="0"/>
          <w:sz w:val="22"/>
        </w:rPr>
      </w:lvl>
    </w:lvlOverride>
  </w:num>
  <w:num w:numId="25" w16cid:durableId="201017661">
    <w:abstractNumId w:val="12"/>
  </w:num>
  <w:num w:numId="26" w16cid:durableId="1097170081">
    <w:abstractNumId w:val="11"/>
  </w:num>
  <w:num w:numId="27" w16cid:durableId="447896629">
    <w:abstractNumId w:val="11"/>
  </w:num>
  <w:num w:numId="28" w16cid:durableId="24601887">
    <w:abstractNumId w:val="11"/>
  </w:num>
  <w:num w:numId="29" w16cid:durableId="231039582">
    <w:abstractNumId w:val="11"/>
  </w:num>
  <w:num w:numId="30" w16cid:durableId="1332028179">
    <w:abstractNumId w:val="11"/>
  </w:num>
  <w:num w:numId="31" w16cid:durableId="1446847969">
    <w:abstractNumId w:val="11"/>
  </w:num>
  <w:num w:numId="32" w16cid:durableId="1253201912">
    <w:abstractNumId w:val="11"/>
  </w:num>
  <w:num w:numId="33" w16cid:durableId="631249970">
    <w:abstractNumId w:val="11"/>
  </w:num>
  <w:num w:numId="34" w16cid:durableId="1273316919">
    <w:abstractNumId w:val="11"/>
  </w:num>
  <w:num w:numId="35" w16cid:durableId="1538547953">
    <w:abstractNumId w:val="11"/>
  </w:num>
  <w:num w:numId="36" w16cid:durableId="1317371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353859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0246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39"/>
    <w:rsid w:val="00015C4B"/>
    <w:rsid w:val="00040A6A"/>
    <w:rsid w:val="00047F2E"/>
    <w:rsid w:val="000508CB"/>
    <w:rsid w:val="000E0110"/>
    <w:rsid w:val="00101A7B"/>
    <w:rsid w:val="00102DE4"/>
    <w:rsid w:val="00104604"/>
    <w:rsid w:val="0017131E"/>
    <w:rsid w:val="0018246C"/>
    <w:rsid w:val="00191F90"/>
    <w:rsid w:val="001A3569"/>
    <w:rsid w:val="001B0EF9"/>
    <w:rsid w:val="001E1592"/>
    <w:rsid w:val="00257AA7"/>
    <w:rsid w:val="00284DBA"/>
    <w:rsid w:val="002A6543"/>
    <w:rsid w:val="00323E2D"/>
    <w:rsid w:val="0033052A"/>
    <w:rsid w:val="00337005"/>
    <w:rsid w:val="00390F6B"/>
    <w:rsid w:val="003C025D"/>
    <w:rsid w:val="003D74D1"/>
    <w:rsid w:val="00404166"/>
    <w:rsid w:val="004412EC"/>
    <w:rsid w:val="00461E13"/>
    <w:rsid w:val="004A6A52"/>
    <w:rsid w:val="004D3CBD"/>
    <w:rsid w:val="004D3D39"/>
    <w:rsid w:val="00506CF9"/>
    <w:rsid w:val="0054706F"/>
    <w:rsid w:val="005933CA"/>
    <w:rsid w:val="005C45CD"/>
    <w:rsid w:val="005D7B0E"/>
    <w:rsid w:val="005F0728"/>
    <w:rsid w:val="007913F0"/>
    <w:rsid w:val="007B750C"/>
    <w:rsid w:val="00801606"/>
    <w:rsid w:val="00824219"/>
    <w:rsid w:val="00845F71"/>
    <w:rsid w:val="00874B18"/>
    <w:rsid w:val="008A3F11"/>
    <w:rsid w:val="008A5C1F"/>
    <w:rsid w:val="008B231A"/>
    <w:rsid w:val="008B6ABB"/>
    <w:rsid w:val="008F375C"/>
    <w:rsid w:val="0094263A"/>
    <w:rsid w:val="00953B1E"/>
    <w:rsid w:val="0097703E"/>
    <w:rsid w:val="009857E6"/>
    <w:rsid w:val="009978B7"/>
    <w:rsid w:val="009B3A9C"/>
    <w:rsid w:val="009C178E"/>
    <w:rsid w:val="009E7EEF"/>
    <w:rsid w:val="00A168A4"/>
    <w:rsid w:val="00A23921"/>
    <w:rsid w:val="00A77376"/>
    <w:rsid w:val="00A96945"/>
    <w:rsid w:val="00AD33A0"/>
    <w:rsid w:val="00AD4BF1"/>
    <w:rsid w:val="00B04E27"/>
    <w:rsid w:val="00B33B2D"/>
    <w:rsid w:val="00B33F21"/>
    <w:rsid w:val="00B56B59"/>
    <w:rsid w:val="00B64BC5"/>
    <w:rsid w:val="00B74F11"/>
    <w:rsid w:val="00B8316F"/>
    <w:rsid w:val="00BC39A9"/>
    <w:rsid w:val="00C16154"/>
    <w:rsid w:val="00C1625C"/>
    <w:rsid w:val="00C6027C"/>
    <w:rsid w:val="00C61D7D"/>
    <w:rsid w:val="00C9181D"/>
    <w:rsid w:val="00CA325A"/>
    <w:rsid w:val="00CA5638"/>
    <w:rsid w:val="00CE289E"/>
    <w:rsid w:val="00D51B5D"/>
    <w:rsid w:val="00D76407"/>
    <w:rsid w:val="00D978D0"/>
    <w:rsid w:val="00DC766F"/>
    <w:rsid w:val="00E36437"/>
    <w:rsid w:val="00E67C0D"/>
    <w:rsid w:val="00EC22D3"/>
    <w:rsid w:val="00F31C71"/>
    <w:rsid w:val="00F53C0D"/>
    <w:rsid w:val="00FB231E"/>
    <w:rsid w:val="00FD4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53213"/>
  <w15:chartTrackingRefBased/>
  <w15:docId w15:val="{3758649D-BEC1-4A36-8344-93CE2F62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05"/>
    <w:pPr>
      <w:spacing w:after="0" w:line="240" w:lineRule="auto"/>
      <w:jc w:val="both"/>
    </w:pPr>
    <w:rPr>
      <w:rFonts w:ascii="Calibri" w:hAnsi="Calibri"/>
      <w:szCs w:val="20"/>
      <w:lang w:eastAsia="en-GB"/>
    </w:rPr>
  </w:style>
  <w:style w:type="paragraph" w:styleId="Heading1">
    <w:name w:val="heading 1"/>
    <w:next w:val="Normal"/>
    <w:link w:val="Heading1Char"/>
    <w:qFormat/>
    <w:rsid w:val="00337005"/>
    <w:pPr>
      <w:numPr>
        <w:numId w:val="31"/>
      </w:numPr>
      <w:spacing w:after="0" w:line="360" w:lineRule="auto"/>
      <w:jc w:val="both"/>
      <w:outlineLvl w:val="0"/>
    </w:pPr>
    <w:rPr>
      <w:rFonts w:ascii="Calibri" w:eastAsiaTheme="majorEastAsia" w:hAnsi="Calibri" w:cstheme="majorBidi"/>
      <w:bCs/>
      <w:szCs w:val="28"/>
    </w:rPr>
  </w:style>
  <w:style w:type="paragraph" w:styleId="Heading2">
    <w:name w:val="heading 2"/>
    <w:basedOn w:val="Heading1"/>
    <w:next w:val="Normal"/>
    <w:link w:val="Heading2Char"/>
    <w:qFormat/>
    <w:rsid w:val="00337005"/>
    <w:pPr>
      <w:numPr>
        <w:ilvl w:val="1"/>
      </w:numPr>
      <w:outlineLvl w:val="1"/>
    </w:pPr>
    <w:rPr>
      <w:rFonts w:asciiTheme="minorHAnsi" w:hAnsiTheme="minorHAnsi"/>
      <w:bCs w:val="0"/>
      <w:szCs w:val="26"/>
    </w:rPr>
  </w:style>
  <w:style w:type="paragraph" w:styleId="Heading3">
    <w:name w:val="heading 3"/>
    <w:basedOn w:val="Heading2"/>
    <w:next w:val="Normal"/>
    <w:link w:val="Heading3Char"/>
    <w:qFormat/>
    <w:rsid w:val="00337005"/>
    <w:pPr>
      <w:numPr>
        <w:ilvl w:val="2"/>
      </w:numPr>
      <w:outlineLvl w:val="2"/>
    </w:pPr>
    <w:rPr>
      <w:bCs/>
    </w:rPr>
  </w:style>
  <w:style w:type="paragraph" w:styleId="Heading4">
    <w:name w:val="heading 4"/>
    <w:basedOn w:val="Heading3"/>
    <w:next w:val="Normal"/>
    <w:link w:val="Heading4Char"/>
    <w:qFormat/>
    <w:rsid w:val="00337005"/>
    <w:pPr>
      <w:numPr>
        <w:ilvl w:val="3"/>
      </w:numPr>
      <w:outlineLvl w:val="3"/>
    </w:pPr>
    <w:rPr>
      <w:bCs w:val="0"/>
      <w:iCs/>
    </w:rPr>
  </w:style>
  <w:style w:type="paragraph" w:styleId="Heading5">
    <w:name w:val="heading 5"/>
    <w:basedOn w:val="Heading4"/>
    <w:next w:val="Normal"/>
    <w:link w:val="Heading5Char"/>
    <w:qFormat/>
    <w:rsid w:val="00337005"/>
    <w:pPr>
      <w:numPr>
        <w:ilvl w:val="4"/>
      </w:numPr>
      <w:outlineLvl w:val="4"/>
    </w:pPr>
  </w:style>
  <w:style w:type="paragraph" w:styleId="Heading6">
    <w:name w:val="heading 6"/>
    <w:basedOn w:val="Heading5"/>
    <w:next w:val="Normal"/>
    <w:link w:val="Heading6Char"/>
    <w:qFormat/>
    <w:rsid w:val="00337005"/>
    <w:pPr>
      <w:numPr>
        <w:ilvl w:val="5"/>
      </w:numPr>
      <w:outlineLvl w:val="5"/>
    </w:pPr>
    <w:rPr>
      <w:iCs w:val="0"/>
    </w:rPr>
  </w:style>
  <w:style w:type="paragraph" w:styleId="Heading7">
    <w:name w:val="heading 7"/>
    <w:basedOn w:val="Normal"/>
    <w:next w:val="Normal"/>
    <w:link w:val="Heading7Char"/>
    <w:uiPriority w:val="9"/>
    <w:semiHidden/>
    <w:unhideWhenUsed/>
    <w:qFormat/>
    <w:rsid w:val="004D3D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D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D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005"/>
    <w:rPr>
      <w:rFonts w:ascii="Tahoma" w:hAnsi="Tahoma" w:cs="Tahoma"/>
      <w:sz w:val="16"/>
      <w:szCs w:val="16"/>
    </w:rPr>
  </w:style>
  <w:style w:type="character" w:customStyle="1" w:styleId="BalloonTextChar">
    <w:name w:val="Balloon Text Char"/>
    <w:basedOn w:val="DefaultParagraphFont"/>
    <w:link w:val="BalloonText"/>
    <w:uiPriority w:val="99"/>
    <w:semiHidden/>
    <w:rsid w:val="00337005"/>
    <w:rPr>
      <w:rFonts w:ascii="Tahoma" w:hAnsi="Tahoma" w:cs="Tahoma"/>
      <w:sz w:val="16"/>
      <w:szCs w:val="16"/>
      <w:lang w:eastAsia="en-GB"/>
    </w:rPr>
  </w:style>
  <w:style w:type="numbering" w:customStyle="1" w:styleId="Buckles-Outline">
    <w:name w:val="Buckles-Outline"/>
    <w:uiPriority w:val="99"/>
    <w:rsid w:val="00337005"/>
    <w:pPr>
      <w:numPr>
        <w:numId w:val="25"/>
      </w:numPr>
    </w:pPr>
  </w:style>
  <w:style w:type="character" w:customStyle="1" w:styleId="Heading1Char">
    <w:name w:val="Heading 1 Char"/>
    <w:basedOn w:val="DefaultParagraphFont"/>
    <w:link w:val="Heading1"/>
    <w:rsid w:val="00337005"/>
    <w:rPr>
      <w:rFonts w:ascii="Calibri" w:eastAsiaTheme="majorEastAsia" w:hAnsi="Calibri" w:cstheme="majorBidi"/>
      <w:bCs/>
      <w:szCs w:val="28"/>
    </w:rPr>
  </w:style>
  <w:style w:type="character" w:customStyle="1" w:styleId="Heading2Char">
    <w:name w:val="Heading 2 Char"/>
    <w:basedOn w:val="DefaultParagraphFont"/>
    <w:link w:val="Heading2"/>
    <w:rsid w:val="00337005"/>
    <w:rPr>
      <w:rFonts w:eastAsiaTheme="majorEastAsia" w:cstheme="majorBidi"/>
      <w:szCs w:val="26"/>
    </w:rPr>
  </w:style>
  <w:style w:type="character" w:customStyle="1" w:styleId="Heading3Char">
    <w:name w:val="Heading 3 Char"/>
    <w:basedOn w:val="DefaultParagraphFont"/>
    <w:link w:val="Heading3"/>
    <w:rsid w:val="00337005"/>
    <w:rPr>
      <w:rFonts w:eastAsiaTheme="majorEastAsia" w:cstheme="majorBidi"/>
      <w:bCs/>
      <w:szCs w:val="26"/>
    </w:rPr>
  </w:style>
  <w:style w:type="character" w:customStyle="1" w:styleId="Heading4Char">
    <w:name w:val="Heading 4 Char"/>
    <w:basedOn w:val="DefaultParagraphFont"/>
    <w:link w:val="Heading4"/>
    <w:rsid w:val="00337005"/>
    <w:rPr>
      <w:rFonts w:eastAsiaTheme="majorEastAsia" w:cstheme="majorBidi"/>
      <w:iCs/>
      <w:szCs w:val="26"/>
    </w:rPr>
  </w:style>
  <w:style w:type="character" w:customStyle="1" w:styleId="Heading5Char">
    <w:name w:val="Heading 5 Char"/>
    <w:basedOn w:val="DefaultParagraphFont"/>
    <w:link w:val="Heading5"/>
    <w:rsid w:val="00337005"/>
    <w:rPr>
      <w:rFonts w:eastAsiaTheme="majorEastAsia" w:cstheme="majorBidi"/>
      <w:iCs/>
      <w:szCs w:val="26"/>
    </w:rPr>
  </w:style>
  <w:style w:type="character" w:customStyle="1" w:styleId="Heading6Char">
    <w:name w:val="Heading 6 Char"/>
    <w:basedOn w:val="DefaultParagraphFont"/>
    <w:link w:val="Heading6"/>
    <w:rsid w:val="00337005"/>
    <w:rPr>
      <w:rFonts w:eastAsiaTheme="majorEastAsia" w:cstheme="majorBidi"/>
      <w:szCs w:val="26"/>
    </w:rPr>
  </w:style>
  <w:style w:type="paragraph" w:styleId="Header">
    <w:name w:val="header"/>
    <w:basedOn w:val="Normal"/>
    <w:link w:val="HeaderChar"/>
    <w:uiPriority w:val="99"/>
    <w:unhideWhenUsed/>
    <w:rsid w:val="0054706F"/>
    <w:pPr>
      <w:tabs>
        <w:tab w:val="center" w:pos="4513"/>
        <w:tab w:val="right" w:pos="9026"/>
      </w:tabs>
    </w:pPr>
  </w:style>
  <w:style w:type="character" w:customStyle="1" w:styleId="HeaderChar">
    <w:name w:val="Header Char"/>
    <w:basedOn w:val="DefaultParagraphFont"/>
    <w:link w:val="Header"/>
    <w:uiPriority w:val="99"/>
    <w:rsid w:val="0054706F"/>
    <w:rPr>
      <w:rFonts w:ascii="Calibri" w:hAnsi="Calibri"/>
      <w:szCs w:val="20"/>
      <w:lang w:eastAsia="en-GB"/>
    </w:rPr>
  </w:style>
  <w:style w:type="paragraph" w:styleId="Footer">
    <w:name w:val="footer"/>
    <w:basedOn w:val="Normal"/>
    <w:link w:val="FooterChar"/>
    <w:uiPriority w:val="99"/>
    <w:unhideWhenUsed/>
    <w:rsid w:val="0054706F"/>
    <w:pPr>
      <w:tabs>
        <w:tab w:val="center" w:pos="4513"/>
        <w:tab w:val="right" w:pos="9026"/>
      </w:tabs>
    </w:pPr>
  </w:style>
  <w:style w:type="character" w:customStyle="1" w:styleId="FooterChar">
    <w:name w:val="Footer Char"/>
    <w:basedOn w:val="DefaultParagraphFont"/>
    <w:link w:val="Footer"/>
    <w:uiPriority w:val="99"/>
    <w:rsid w:val="0054706F"/>
    <w:rPr>
      <w:rFonts w:ascii="Calibri" w:hAnsi="Calibri"/>
      <w:szCs w:val="20"/>
      <w:lang w:eastAsia="en-GB"/>
    </w:rPr>
  </w:style>
  <w:style w:type="table" w:styleId="TableGrid">
    <w:name w:val="Table Grid"/>
    <w:basedOn w:val="TableNormal"/>
    <w:uiPriority w:val="59"/>
    <w:rsid w:val="00191F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1F90"/>
    <w:pPr>
      <w:jc w:val="left"/>
    </w:pPr>
    <w:rPr>
      <w:b/>
      <w:szCs w:val="22"/>
      <w:lang w:eastAsia="en-US"/>
    </w:rPr>
  </w:style>
  <w:style w:type="table" w:customStyle="1" w:styleId="TableGrid2">
    <w:name w:val="Table Grid2"/>
    <w:basedOn w:val="TableNormal"/>
    <w:next w:val="TableGrid"/>
    <w:uiPriority w:val="59"/>
    <w:rsid w:val="00D76407"/>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4D3D39"/>
    <w:rPr>
      <w:rFonts w:eastAsiaTheme="majorEastAsia" w:cstheme="majorBidi"/>
      <w:color w:val="595959" w:themeColor="text1" w:themeTint="A6"/>
      <w:szCs w:val="20"/>
      <w:lang w:eastAsia="en-GB"/>
    </w:rPr>
  </w:style>
  <w:style w:type="character" w:customStyle="1" w:styleId="Heading8Char">
    <w:name w:val="Heading 8 Char"/>
    <w:basedOn w:val="DefaultParagraphFont"/>
    <w:link w:val="Heading8"/>
    <w:uiPriority w:val="9"/>
    <w:semiHidden/>
    <w:rsid w:val="004D3D39"/>
    <w:rPr>
      <w:rFonts w:eastAsiaTheme="majorEastAsia" w:cstheme="majorBidi"/>
      <w:i/>
      <w:iCs/>
      <w:color w:val="272727" w:themeColor="text1" w:themeTint="D8"/>
      <w:szCs w:val="20"/>
      <w:lang w:eastAsia="en-GB"/>
    </w:rPr>
  </w:style>
  <w:style w:type="character" w:customStyle="1" w:styleId="Heading9Char">
    <w:name w:val="Heading 9 Char"/>
    <w:basedOn w:val="DefaultParagraphFont"/>
    <w:link w:val="Heading9"/>
    <w:uiPriority w:val="9"/>
    <w:semiHidden/>
    <w:rsid w:val="004D3D39"/>
    <w:rPr>
      <w:rFonts w:eastAsiaTheme="majorEastAsia" w:cstheme="majorBidi"/>
      <w:color w:val="272727" w:themeColor="text1" w:themeTint="D8"/>
      <w:szCs w:val="20"/>
      <w:lang w:eastAsia="en-GB"/>
    </w:rPr>
  </w:style>
  <w:style w:type="paragraph" w:styleId="Title">
    <w:name w:val="Title"/>
    <w:basedOn w:val="Normal"/>
    <w:next w:val="Normal"/>
    <w:link w:val="TitleChar"/>
    <w:uiPriority w:val="10"/>
    <w:qFormat/>
    <w:rsid w:val="004D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D39"/>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4D3D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D39"/>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4D3D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D39"/>
    <w:rPr>
      <w:rFonts w:ascii="Calibri" w:hAnsi="Calibri"/>
      <w:i/>
      <w:iCs/>
      <w:color w:val="404040" w:themeColor="text1" w:themeTint="BF"/>
      <w:szCs w:val="20"/>
      <w:lang w:eastAsia="en-GB"/>
    </w:rPr>
  </w:style>
  <w:style w:type="paragraph" w:styleId="ListParagraph">
    <w:name w:val="List Paragraph"/>
    <w:basedOn w:val="Normal"/>
    <w:uiPriority w:val="34"/>
    <w:rsid w:val="004D3D39"/>
    <w:pPr>
      <w:ind w:left="720"/>
      <w:contextualSpacing/>
    </w:pPr>
  </w:style>
  <w:style w:type="character" w:styleId="IntenseEmphasis">
    <w:name w:val="Intense Emphasis"/>
    <w:basedOn w:val="DefaultParagraphFont"/>
    <w:uiPriority w:val="21"/>
    <w:qFormat/>
    <w:rsid w:val="004D3D39"/>
    <w:rPr>
      <w:i/>
      <w:iCs/>
      <w:color w:val="365F91" w:themeColor="accent1" w:themeShade="BF"/>
    </w:rPr>
  </w:style>
  <w:style w:type="paragraph" w:styleId="IntenseQuote">
    <w:name w:val="Intense Quote"/>
    <w:basedOn w:val="Normal"/>
    <w:next w:val="Normal"/>
    <w:link w:val="IntenseQuoteChar"/>
    <w:uiPriority w:val="30"/>
    <w:qFormat/>
    <w:rsid w:val="004D3D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3D39"/>
    <w:rPr>
      <w:rFonts w:ascii="Calibri" w:hAnsi="Calibri"/>
      <w:i/>
      <w:iCs/>
      <w:color w:val="365F91" w:themeColor="accent1" w:themeShade="BF"/>
      <w:szCs w:val="20"/>
      <w:lang w:eastAsia="en-GB"/>
    </w:rPr>
  </w:style>
  <w:style w:type="character" w:styleId="IntenseReference">
    <w:name w:val="Intense Reference"/>
    <w:basedOn w:val="DefaultParagraphFont"/>
    <w:uiPriority w:val="32"/>
    <w:semiHidden/>
    <w:unhideWhenUsed/>
    <w:qFormat/>
    <w:rsid w:val="004D3D3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7227">
      <w:bodyDiv w:val="1"/>
      <w:marLeft w:val="0"/>
      <w:marRight w:val="0"/>
      <w:marTop w:val="0"/>
      <w:marBottom w:val="0"/>
      <w:divBdr>
        <w:top w:val="none" w:sz="0" w:space="0" w:color="auto"/>
        <w:left w:val="none" w:sz="0" w:space="0" w:color="auto"/>
        <w:bottom w:val="none" w:sz="0" w:space="0" w:color="auto"/>
        <w:right w:val="none" w:sz="0" w:space="0" w:color="auto"/>
      </w:divBdr>
    </w:div>
    <w:div w:id="20765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Uys</dc:creator>
  <cp:keywords/>
  <dc:description/>
  <cp:lastModifiedBy>Helen Uys</cp:lastModifiedBy>
  <cp:revision>6</cp:revision>
  <cp:lastPrinted>2015-10-05T11:00:00Z</cp:lastPrinted>
  <dcterms:created xsi:type="dcterms:W3CDTF">2025-04-06T15:30:00Z</dcterms:created>
  <dcterms:modified xsi:type="dcterms:W3CDTF">2025-05-01T13:37:00Z</dcterms:modified>
</cp:coreProperties>
</file>