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137" w:rsidRPr="009B09B6" w:rsidRDefault="009B09B6" w:rsidP="009B09B6">
      <w:pPr>
        <w:jc w:val="center"/>
        <w:rPr>
          <w:rFonts w:ascii="Arial" w:hAnsi="Arial" w:cs="Arial"/>
          <w:b/>
          <w:u w:val="single"/>
        </w:rPr>
      </w:pPr>
      <w:r w:rsidRPr="009B09B6">
        <w:rPr>
          <w:rFonts w:ascii="Arial" w:hAnsi="Arial" w:cs="Arial"/>
          <w:b/>
          <w:u w:val="single"/>
        </w:rPr>
        <w:t>Design and Access statement</w:t>
      </w:r>
    </w:p>
    <w:p w:rsidR="009B09B6" w:rsidRDefault="009B09B6"/>
    <w:p w:rsidR="009B09B6" w:rsidRDefault="009B09B6" w:rsidP="009B09B6">
      <w:pPr>
        <w:rPr>
          <w:rFonts w:ascii="Arial" w:hAnsi="Arial" w:cs="Arial"/>
        </w:rPr>
      </w:pPr>
      <w:r w:rsidRPr="00B72A83">
        <w:rPr>
          <w:rFonts w:ascii="Arial" w:hAnsi="Arial" w:cs="Arial"/>
        </w:rPr>
        <w:t xml:space="preserve">This proposal accompanies the </w:t>
      </w:r>
      <w:r w:rsidRPr="00B72A83">
        <w:rPr>
          <w:rFonts w:ascii="Arial" w:hAnsi="Arial" w:cs="Arial"/>
        </w:rPr>
        <w:t xml:space="preserve">planning </w:t>
      </w:r>
      <w:r w:rsidRPr="00B72A83">
        <w:rPr>
          <w:rFonts w:ascii="Arial" w:hAnsi="Arial" w:cs="Arial"/>
        </w:rPr>
        <w:t xml:space="preserve">application </w:t>
      </w:r>
      <w:r w:rsidRPr="00B72A83">
        <w:rPr>
          <w:rFonts w:ascii="Arial" w:hAnsi="Arial" w:cs="Arial"/>
        </w:rPr>
        <w:t xml:space="preserve">on the </w:t>
      </w:r>
      <w:proofErr w:type="spellStart"/>
      <w:r w:rsidRPr="00B72A83">
        <w:rPr>
          <w:rFonts w:ascii="Arial" w:hAnsi="Arial" w:cs="Arial"/>
        </w:rPr>
        <w:t>Holbeach</w:t>
      </w:r>
      <w:proofErr w:type="spellEnd"/>
      <w:r w:rsidRPr="00B72A83">
        <w:rPr>
          <w:rFonts w:ascii="Arial" w:hAnsi="Arial" w:cs="Arial"/>
        </w:rPr>
        <w:t xml:space="preserve"> Food Enterprise Zone (FEZ) as part of the South Holland Local Development Order (SHDC LDO). As you </w:t>
      </w:r>
      <w:r w:rsidRPr="00B72A83">
        <w:rPr>
          <w:rFonts w:ascii="Arial" w:hAnsi="Arial" w:cs="Arial"/>
        </w:rPr>
        <w:t>may</w:t>
      </w:r>
      <w:r w:rsidRPr="00B72A83">
        <w:rPr>
          <w:rFonts w:ascii="Arial" w:hAnsi="Arial" w:cs="Arial"/>
        </w:rPr>
        <w:t xml:space="preserve"> be aware Lincolnshire County Council (LCC) has previously had approved an extension</w:t>
      </w:r>
      <w:r w:rsidRPr="00B72A83">
        <w:rPr>
          <w:rFonts w:ascii="Arial" w:hAnsi="Arial" w:cs="Arial"/>
        </w:rPr>
        <w:t xml:space="preserve"> of 60m (application PL/0064/18</w:t>
      </w:r>
      <w:r w:rsidRPr="00B72A83">
        <w:rPr>
          <w:rFonts w:ascii="Arial" w:hAnsi="Arial" w:cs="Arial"/>
        </w:rPr>
        <w:t xml:space="preserve">) spur road coming off the A151 roundabout to create an access into Phase 1 of the </w:t>
      </w:r>
      <w:proofErr w:type="spellStart"/>
      <w:r w:rsidRPr="00B72A83">
        <w:rPr>
          <w:rFonts w:ascii="Arial" w:hAnsi="Arial" w:cs="Arial"/>
        </w:rPr>
        <w:t>Holbeach</w:t>
      </w:r>
      <w:proofErr w:type="spellEnd"/>
      <w:r w:rsidRPr="00B72A83">
        <w:rPr>
          <w:rFonts w:ascii="Arial" w:hAnsi="Arial" w:cs="Arial"/>
        </w:rPr>
        <w:t xml:space="preserve"> FEZ which would enable the development of the University of Lincoln Centre of Excellence and initial access to the s</w:t>
      </w:r>
      <w:r w:rsidR="00DE5E5E" w:rsidRPr="00B72A83">
        <w:rPr>
          <w:rFonts w:ascii="Arial" w:hAnsi="Arial" w:cs="Arial"/>
        </w:rPr>
        <w:t xml:space="preserve">ite. </w:t>
      </w:r>
      <w:r w:rsidR="00DE5E5E" w:rsidRPr="00B72A83">
        <w:rPr>
          <w:rFonts w:ascii="Arial" w:hAnsi="Arial" w:cs="Arial"/>
        </w:rPr>
        <w:br/>
      </w:r>
      <w:r w:rsidR="00DE5E5E" w:rsidRPr="00B72A83">
        <w:rPr>
          <w:rFonts w:ascii="Arial" w:hAnsi="Arial" w:cs="Arial"/>
        </w:rPr>
        <w:br/>
      </w:r>
      <w:r w:rsidR="00DE5E5E">
        <w:rPr>
          <w:rFonts w:ascii="Arial" w:hAnsi="Arial" w:cs="Arial"/>
        </w:rPr>
        <w:t xml:space="preserve">LCC is proposing to construct 325 </w:t>
      </w:r>
      <w:r>
        <w:rPr>
          <w:rFonts w:ascii="Arial" w:hAnsi="Arial" w:cs="Arial"/>
        </w:rPr>
        <w:t>m</w:t>
      </w:r>
      <w:r w:rsidR="00DE5E5E">
        <w:rPr>
          <w:rFonts w:ascii="Arial" w:hAnsi="Arial" w:cs="Arial"/>
        </w:rPr>
        <w:t>eters (General arrangement drawing FEZ-AEC-ZZ-ZZ-DR-CE-02553)</w:t>
      </w:r>
      <w:r w:rsidR="00B72A83">
        <w:rPr>
          <w:rFonts w:ascii="Arial" w:hAnsi="Arial" w:cs="Arial"/>
        </w:rPr>
        <w:t xml:space="preserve"> of highway</w:t>
      </w:r>
      <w:r>
        <w:rPr>
          <w:rFonts w:ascii="Arial" w:hAnsi="Arial" w:cs="Arial"/>
        </w:rPr>
        <w:t xml:space="preserve"> </w:t>
      </w:r>
      <w:r w:rsidR="00DE5E5E">
        <w:rPr>
          <w:rFonts w:ascii="Arial" w:hAnsi="Arial" w:cs="Arial"/>
        </w:rPr>
        <w:t xml:space="preserve">proceeding west </w:t>
      </w:r>
      <w:r>
        <w:rPr>
          <w:rFonts w:ascii="Arial" w:hAnsi="Arial" w:cs="Arial"/>
        </w:rPr>
        <w:t xml:space="preserve">to facilitate the future development of Phase 1, which will enable access to the plots of land that will </w:t>
      </w:r>
      <w:r w:rsidR="00DE5E5E">
        <w:rPr>
          <w:rFonts w:ascii="Arial" w:hAnsi="Arial" w:cs="Arial"/>
        </w:rPr>
        <w:t>be made</w:t>
      </w:r>
      <w:r>
        <w:rPr>
          <w:rFonts w:ascii="Arial" w:hAnsi="Arial" w:cs="Arial"/>
        </w:rPr>
        <w:t xml:space="preserve"> available to private developers as the sch</w:t>
      </w:r>
      <w:r w:rsidR="00DE5E5E">
        <w:rPr>
          <w:rFonts w:ascii="Arial" w:hAnsi="Arial" w:cs="Arial"/>
        </w:rPr>
        <w:t>eme progresses in</w:t>
      </w:r>
      <w:r>
        <w:rPr>
          <w:rFonts w:ascii="Arial" w:hAnsi="Arial" w:cs="Arial"/>
        </w:rPr>
        <w:t xml:space="preserve"> a phased approach</w:t>
      </w:r>
      <w:r w:rsidR="00DE5E5E">
        <w:rPr>
          <w:rFonts w:ascii="Arial" w:hAnsi="Arial" w:cs="Arial"/>
        </w:rPr>
        <w:t>. This is acceptable</w:t>
      </w:r>
      <w:r>
        <w:rPr>
          <w:rFonts w:ascii="Arial" w:hAnsi="Arial" w:cs="Arial"/>
        </w:rPr>
        <w:t xml:space="preserve"> to Appendix 1, Point 4 of the SHDC LDO.</w:t>
      </w:r>
      <w:r>
        <w:rPr>
          <w:rFonts w:ascii="Arial" w:hAnsi="Arial" w:cs="Arial"/>
        </w:rPr>
        <w:br/>
      </w:r>
    </w:p>
    <w:p w:rsidR="009B09B6" w:rsidRDefault="00B72A83" w:rsidP="009B09B6">
      <w:pPr>
        <w:rPr>
          <w:rFonts w:ascii="Arial" w:hAnsi="Arial" w:cs="Arial"/>
        </w:rPr>
      </w:pPr>
      <w:r>
        <w:rPr>
          <w:rFonts w:ascii="Arial" w:hAnsi="Arial" w:cs="Arial"/>
        </w:rPr>
        <w:t xml:space="preserve">The proposed highway </w:t>
      </w:r>
      <w:r w:rsidR="009B09B6">
        <w:rPr>
          <w:rFonts w:ascii="Arial" w:hAnsi="Arial" w:cs="Arial"/>
        </w:rPr>
        <w:t xml:space="preserve">will be designed and constructed to LCC Highways adoptable standard in accordance with the 'Development Road and Sustainable Drainage Specification and Construction (May 2018)' and will have the associated footways and verges, as well as the relevant drainage. It will be of the same specification as stated in the previous </w:t>
      </w:r>
      <w:r w:rsidR="00DE5E5E">
        <w:rPr>
          <w:rFonts w:ascii="Arial" w:hAnsi="Arial" w:cs="Arial"/>
        </w:rPr>
        <w:t xml:space="preserve">LCC planning </w:t>
      </w:r>
      <w:r w:rsidR="009B09B6">
        <w:rPr>
          <w:rFonts w:ascii="Arial" w:hAnsi="Arial" w:cs="Arial"/>
        </w:rPr>
        <w:t xml:space="preserve">application </w:t>
      </w:r>
      <w:r w:rsidR="00DE5E5E">
        <w:rPr>
          <w:rFonts w:ascii="Arial" w:hAnsi="Arial" w:cs="Arial"/>
        </w:rPr>
        <w:t xml:space="preserve">(PL/0064/18) </w:t>
      </w:r>
      <w:r w:rsidR="009B09B6">
        <w:rPr>
          <w:rFonts w:ascii="Arial" w:hAnsi="Arial" w:cs="Arial"/>
        </w:rPr>
        <w:t xml:space="preserve">of the 60m of access road. </w:t>
      </w:r>
      <w:r w:rsidR="009B09B6">
        <w:rPr>
          <w:rFonts w:ascii="Arial" w:hAnsi="Arial" w:cs="Arial"/>
        </w:rPr>
        <w:br/>
      </w:r>
      <w:r w:rsidR="009B09B6">
        <w:rPr>
          <w:rFonts w:ascii="Arial" w:hAnsi="Arial" w:cs="Arial"/>
        </w:rPr>
        <w:br/>
        <w:t>All street lighting will also be adopted by LCC Highways upon completion of the total Phase 1 site deve</w:t>
      </w:r>
      <w:r w:rsidR="00DE5E5E">
        <w:rPr>
          <w:rFonts w:ascii="Arial" w:hAnsi="Arial" w:cs="Arial"/>
        </w:rPr>
        <w:t>lopment. LCC are working with</w:t>
      </w:r>
      <w:r w:rsidR="009B09B6">
        <w:rPr>
          <w:rFonts w:ascii="Arial" w:hAnsi="Arial" w:cs="Arial"/>
        </w:rPr>
        <w:t xml:space="preserve"> Anglian Water </w:t>
      </w:r>
      <w:r w:rsidR="00DE5E5E">
        <w:rPr>
          <w:rFonts w:ascii="Arial" w:hAnsi="Arial" w:cs="Arial"/>
        </w:rPr>
        <w:t>for them to adopt</w:t>
      </w:r>
      <w:r w:rsidR="009B09B6">
        <w:rPr>
          <w:rFonts w:ascii="Arial" w:hAnsi="Arial" w:cs="Arial"/>
        </w:rPr>
        <w:t xml:space="preserve"> the surface water main pipe run and will be submitting a section 104 agreement in the near future. Surface water discharge rate will comply with SHDC Internal Drainage Board and the LDO Flood Risk Assessment.</w:t>
      </w:r>
      <w:r w:rsidR="009B09B6">
        <w:rPr>
          <w:rFonts w:ascii="Arial" w:hAnsi="Arial" w:cs="Arial"/>
        </w:rPr>
        <w:br/>
      </w:r>
    </w:p>
    <w:p w:rsidR="009B09B6" w:rsidRDefault="009B09B6" w:rsidP="009B09B6">
      <w:pPr>
        <w:rPr>
          <w:rFonts w:ascii="Arial" w:hAnsi="Arial" w:cs="Arial"/>
          <w:b/>
        </w:rPr>
      </w:pPr>
      <w:r>
        <w:rPr>
          <w:rFonts w:ascii="Arial" w:hAnsi="Arial" w:cs="Arial"/>
        </w:rPr>
        <w:t xml:space="preserve">A previous Flood Risk Assessment (FRA) was carried out in 2015 by </w:t>
      </w:r>
      <w:proofErr w:type="spellStart"/>
      <w:r>
        <w:rPr>
          <w:rFonts w:ascii="Arial" w:hAnsi="Arial" w:cs="Arial"/>
        </w:rPr>
        <w:t>Mouchel</w:t>
      </w:r>
      <w:proofErr w:type="spellEnd"/>
      <w:r>
        <w:rPr>
          <w:rFonts w:ascii="Arial" w:hAnsi="Arial" w:cs="Arial"/>
        </w:rPr>
        <w:t xml:space="preserve"> Consulting for LCC with regard to the original A17/A151 Peppermint Junction sch</w:t>
      </w:r>
      <w:r w:rsidR="00F42109">
        <w:rPr>
          <w:rFonts w:ascii="Arial" w:hAnsi="Arial" w:cs="Arial"/>
        </w:rPr>
        <w:t>eme. The proposed highway</w:t>
      </w:r>
      <w:bookmarkStart w:id="0" w:name="_GoBack"/>
      <w:bookmarkEnd w:id="0"/>
      <w:r>
        <w:rPr>
          <w:rFonts w:ascii="Arial" w:hAnsi="Arial" w:cs="Arial"/>
        </w:rPr>
        <w:t xml:space="preserve"> is situated within Flood Zone 3 which has been defined as high risk. Due to this all designs and developments will be raised by 300mm off the existing ground level and will comply with the site wide FRA. Proposals for the surface water drainage can be found in </w:t>
      </w:r>
      <w:r w:rsidR="00B72A83">
        <w:rPr>
          <w:rFonts w:ascii="Arial" w:hAnsi="Arial" w:cs="Arial"/>
        </w:rPr>
        <w:t>within the planning application</w:t>
      </w:r>
      <w:r w:rsidR="00B72A83">
        <w:rPr>
          <w:rFonts w:ascii="Arial" w:hAnsi="Arial" w:cs="Arial"/>
          <w:b/>
        </w:rPr>
        <w:t>.</w:t>
      </w:r>
    </w:p>
    <w:p w:rsidR="00B72A83" w:rsidRDefault="00B72A83" w:rsidP="009B09B6">
      <w:pPr>
        <w:rPr>
          <w:rFonts w:ascii="Arial" w:hAnsi="Arial" w:cs="Arial"/>
          <w:color w:val="000000" w:themeColor="text1"/>
        </w:rPr>
      </w:pPr>
    </w:p>
    <w:p w:rsidR="009B09B6" w:rsidRDefault="00B72A83" w:rsidP="009B09B6">
      <w:pPr>
        <w:rPr>
          <w:rFonts w:ascii="Arial" w:hAnsi="Arial" w:cs="Arial"/>
          <w:color w:val="000000" w:themeColor="text1"/>
          <w:shd w:val="clear" w:color="auto" w:fill="FFFFFF"/>
        </w:rPr>
      </w:pPr>
      <w:r>
        <w:rPr>
          <w:rFonts w:ascii="Arial" w:hAnsi="Arial" w:cs="Arial"/>
          <w:color w:val="000000" w:themeColor="text1"/>
          <w:shd w:val="clear" w:color="auto" w:fill="FFFFFF"/>
        </w:rPr>
        <w:t>The proposed highway</w:t>
      </w:r>
      <w:r w:rsidR="009B09B6">
        <w:rPr>
          <w:rFonts w:ascii="Arial" w:hAnsi="Arial" w:cs="Arial"/>
          <w:color w:val="000000" w:themeColor="text1"/>
          <w:shd w:val="clear" w:color="auto" w:fill="FFFFFF"/>
        </w:rPr>
        <w:t xml:space="preserve"> aims to meet with the conditions outlined in the SHDC LDO (specifically Schedule 2), with designs including details on access, landscaping, layout, street lighting and scale of the proposed development, along with designs on foul water drainage and ground levels.</w:t>
      </w:r>
      <w:r w:rsidR="009B09B6">
        <w:rPr>
          <w:rFonts w:ascii="Arial" w:hAnsi="Arial" w:cs="Arial"/>
          <w:color w:val="000000" w:themeColor="text1"/>
          <w:shd w:val="clear" w:color="auto" w:fill="FFFFFF"/>
        </w:rPr>
        <w:br/>
      </w:r>
    </w:p>
    <w:p w:rsidR="009B09B6" w:rsidRPr="00B72A83" w:rsidRDefault="009B09B6" w:rsidP="009B09B6">
      <w:pPr>
        <w:rPr>
          <w:rFonts w:ascii="Arial" w:hAnsi="Arial" w:cs="Arial"/>
          <w:color w:val="000000" w:themeColor="text1"/>
          <w:shd w:val="clear" w:color="auto" w:fill="FFFFFF"/>
        </w:rPr>
      </w:pPr>
      <w:r>
        <w:rPr>
          <w:rFonts w:ascii="Arial" w:hAnsi="Arial" w:cs="Arial"/>
          <w:color w:val="000000" w:themeColor="text1"/>
          <w:shd w:val="clear" w:color="auto" w:fill="FFFFFF"/>
        </w:rPr>
        <w:br/>
        <w:t>All design drawings can be found under Appendix B.</w:t>
      </w:r>
    </w:p>
    <w:p w:rsidR="009B09B6" w:rsidRDefault="009B09B6" w:rsidP="009B09B6">
      <w:pPr>
        <w:rPr>
          <w:rFonts w:cs="Arial"/>
          <w:color w:val="000000" w:themeColor="text1"/>
          <w:shd w:val="clear" w:color="auto" w:fill="FFFFFF"/>
        </w:rPr>
      </w:pPr>
    </w:p>
    <w:p w:rsidR="009B09B6" w:rsidRDefault="009B09B6" w:rsidP="009B09B6">
      <w:pPr>
        <w:rPr>
          <w:rFonts w:cs="Arial"/>
          <w:color w:val="000000" w:themeColor="text1"/>
          <w:shd w:val="clear" w:color="auto" w:fill="FFFFFF"/>
        </w:rPr>
      </w:pPr>
    </w:p>
    <w:p w:rsidR="009B09B6" w:rsidRDefault="009B09B6" w:rsidP="009B09B6">
      <w:pPr>
        <w:rPr>
          <w:rFonts w:ascii="Arial" w:hAnsi="Arial" w:cs="Arial"/>
          <w:color w:val="555555"/>
          <w:shd w:val="clear" w:color="auto" w:fill="FFFFFF"/>
        </w:rPr>
      </w:pPr>
    </w:p>
    <w:p w:rsidR="009B09B6" w:rsidRDefault="009B09B6" w:rsidP="009B09B6"/>
    <w:p w:rsidR="009B09B6" w:rsidRDefault="009B09B6" w:rsidP="009B09B6">
      <w:pPr>
        <w:rPr>
          <w:rFonts w:ascii="Arial" w:hAnsi="Arial"/>
        </w:rPr>
      </w:pPr>
    </w:p>
    <w:p w:rsidR="009B09B6" w:rsidRDefault="009B09B6"/>
    <w:sectPr w:rsidR="009B09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9B6"/>
    <w:rsid w:val="008D0137"/>
    <w:rsid w:val="009B09B6"/>
    <w:rsid w:val="00B72A83"/>
    <w:rsid w:val="00DE5E5E"/>
    <w:rsid w:val="00F421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9B6"/>
    <w:pPr>
      <w:spacing w:after="0" w:line="240" w:lineRule="auto"/>
    </w:pPr>
    <w:rPr>
      <w:rFonts w:eastAsiaTheme="minorEastAsia"/>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9B6"/>
    <w:pPr>
      <w:spacing w:after="0" w:line="240" w:lineRule="auto"/>
    </w:pPr>
    <w:rPr>
      <w:rFonts w:eastAsiaTheme="minorEastAsia"/>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89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2504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Walker</dc:creator>
  <cp:lastModifiedBy>Ian Walker</cp:lastModifiedBy>
  <cp:revision>2</cp:revision>
  <dcterms:created xsi:type="dcterms:W3CDTF">2019-09-16T09:39:00Z</dcterms:created>
  <dcterms:modified xsi:type="dcterms:W3CDTF">2019-09-16T10:07:00Z</dcterms:modified>
</cp:coreProperties>
</file>