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54B7C" w14:textId="77777777" w:rsidR="008C4D2E" w:rsidRPr="008C4D2E" w:rsidRDefault="008C4D2E" w:rsidP="008C4D2E">
      <w:pPr>
        <w:spacing w:after="0"/>
        <w:rPr>
          <w:b/>
          <w:bCs/>
        </w:rPr>
      </w:pPr>
      <w:r w:rsidRPr="008C4D2E">
        <w:rPr>
          <w:b/>
          <w:bCs/>
        </w:rPr>
        <w:t>Flood Risk Assessment</w:t>
      </w:r>
    </w:p>
    <w:p w14:paraId="6EB4CB84" w14:textId="77777777" w:rsidR="008C4D2E" w:rsidRDefault="008C4D2E" w:rsidP="008C4D2E">
      <w:pPr>
        <w:spacing w:after="0"/>
        <w:rPr>
          <w:b/>
          <w:bCs/>
        </w:rPr>
      </w:pPr>
      <w:r>
        <w:rPr>
          <w:b/>
          <w:bCs/>
        </w:rPr>
        <w:t>Little Berries Café LTD</w:t>
      </w:r>
    </w:p>
    <w:p w14:paraId="794DBA9F" w14:textId="2415ADAF" w:rsidR="008C4D2E" w:rsidRDefault="008C4D2E" w:rsidP="008C4D2E">
      <w:pPr>
        <w:spacing w:after="0"/>
        <w:rPr>
          <w:b/>
          <w:bCs/>
        </w:rPr>
      </w:pPr>
      <w:r w:rsidRPr="008C4D2E">
        <w:rPr>
          <w:b/>
          <w:bCs/>
        </w:rPr>
        <w:t>Unit 2 &amp; 3, 14 The Crescent, Spalding, PE11 1AE</w:t>
      </w:r>
    </w:p>
    <w:p w14:paraId="5306A3ED" w14:textId="77777777" w:rsidR="008C4D2E" w:rsidRPr="008C4D2E" w:rsidRDefault="008C4D2E" w:rsidP="008C4D2E">
      <w:pPr>
        <w:spacing w:after="0"/>
      </w:pPr>
    </w:p>
    <w:p w14:paraId="35FD593A" w14:textId="77777777" w:rsidR="008C4D2E" w:rsidRPr="008C4D2E" w:rsidRDefault="008C4D2E" w:rsidP="008C4D2E">
      <w:pPr>
        <w:spacing w:after="0"/>
        <w:rPr>
          <w:b/>
          <w:bCs/>
        </w:rPr>
      </w:pPr>
      <w:r w:rsidRPr="008C4D2E">
        <w:rPr>
          <w:b/>
          <w:bCs/>
        </w:rPr>
        <w:t>1. Introduction</w:t>
      </w:r>
    </w:p>
    <w:p w14:paraId="5354DC76" w14:textId="77777777" w:rsidR="008C4D2E" w:rsidRPr="008C4D2E" w:rsidRDefault="008C4D2E" w:rsidP="008C4D2E">
      <w:pPr>
        <w:spacing w:after="0"/>
      </w:pPr>
      <w:r w:rsidRPr="008C4D2E">
        <w:t>This Flood Risk Assessment (FRA) supports the proposed minor development works at Unit 2 &amp; 3, 14 The Crescent, Spalding, PE11 1AE (“the Site”). The assessment has been prepared in accordance with the National Planning Policy Framework (NPPF) and the Planning Practice Guidance (PPG) relating to Flood Risk and Coastal Change.</w:t>
      </w:r>
    </w:p>
    <w:p w14:paraId="799A8543" w14:textId="77777777" w:rsidR="008C4D2E" w:rsidRDefault="008C4D2E" w:rsidP="008C4D2E">
      <w:pPr>
        <w:spacing w:after="0"/>
      </w:pPr>
      <w:r w:rsidRPr="008C4D2E">
        <w:t>The purpose of this FRA is to demonstrate that the proposed works will not increase flood risk on the Site or elsewhere and that the development remains appropriate for its location within Flood Zone 3.</w:t>
      </w:r>
    </w:p>
    <w:p w14:paraId="05803B7F" w14:textId="77777777" w:rsidR="008C4D2E" w:rsidRPr="008C4D2E" w:rsidRDefault="008C4D2E" w:rsidP="008C4D2E">
      <w:pPr>
        <w:spacing w:after="0"/>
      </w:pPr>
    </w:p>
    <w:p w14:paraId="37F758D8" w14:textId="77777777" w:rsidR="008C4D2E" w:rsidRPr="008C4D2E" w:rsidRDefault="008C4D2E" w:rsidP="008C4D2E">
      <w:pPr>
        <w:spacing w:after="0"/>
        <w:rPr>
          <w:b/>
          <w:bCs/>
        </w:rPr>
      </w:pPr>
      <w:r w:rsidRPr="008C4D2E">
        <w:rPr>
          <w:b/>
          <w:bCs/>
        </w:rPr>
        <w:t>2. Site Location and Flood Zone Classification</w:t>
      </w:r>
    </w:p>
    <w:p w14:paraId="271839E7" w14:textId="77777777" w:rsidR="008C4D2E" w:rsidRPr="008C4D2E" w:rsidRDefault="008C4D2E" w:rsidP="008C4D2E">
      <w:pPr>
        <w:spacing w:after="0"/>
      </w:pPr>
      <w:r w:rsidRPr="008C4D2E">
        <w:t>The Site lies within Flood Zone 3, as defined by the Environment Agency’s Flood Map for Planning. A Groundsure Screening Report (reference IT</w:t>
      </w:r>
      <w:r w:rsidRPr="008C4D2E">
        <w:noBreakHyphen/>
        <w:t xml:space="preserve">103617330, dated 19 December 2025) identifies the Site as being at </w:t>
      </w:r>
      <w:r w:rsidRPr="008C4D2E">
        <w:rPr>
          <w:b/>
          <w:bCs/>
        </w:rPr>
        <w:t>moderate risk</w:t>
      </w:r>
      <w:r w:rsidRPr="008C4D2E">
        <w:t xml:space="preserve"> of flooding from rivers and the sea, with a </w:t>
      </w:r>
      <w:r w:rsidRPr="008C4D2E">
        <w:rPr>
          <w:b/>
          <w:bCs/>
        </w:rPr>
        <w:t>medium risk rating</w:t>
      </w:r>
      <w:r w:rsidRPr="008C4D2E">
        <w:t xml:space="preserve"> at building level.</w:t>
      </w:r>
    </w:p>
    <w:p w14:paraId="677207D1" w14:textId="77777777" w:rsidR="008C4D2E" w:rsidRPr="008C4D2E" w:rsidRDefault="008C4D2E" w:rsidP="008C4D2E">
      <w:pPr>
        <w:spacing w:after="0"/>
      </w:pPr>
      <w:r w:rsidRPr="008C4D2E">
        <w:t xml:space="preserve">The River </w:t>
      </w:r>
      <w:proofErr w:type="spellStart"/>
      <w:r w:rsidRPr="008C4D2E">
        <w:t>Welland</w:t>
      </w:r>
      <w:proofErr w:type="spellEnd"/>
      <w:r w:rsidRPr="008C4D2E">
        <w:t xml:space="preserve"> is located approximately </w:t>
      </w:r>
      <w:r w:rsidRPr="008C4D2E">
        <w:rPr>
          <w:b/>
          <w:bCs/>
        </w:rPr>
        <w:t>140 metres east</w:t>
      </w:r>
      <w:r w:rsidRPr="008C4D2E">
        <w:t xml:space="preserve"> of the Site.</w:t>
      </w:r>
    </w:p>
    <w:p w14:paraId="1CA2BFE9" w14:textId="77777777" w:rsidR="008C4D2E" w:rsidRDefault="008C4D2E" w:rsidP="008C4D2E">
      <w:pPr>
        <w:spacing w:after="0"/>
      </w:pPr>
      <w:r w:rsidRPr="008C4D2E">
        <w:t>No historic flood events affecting the building are recorded in the available screening information.</w:t>
      </w:r>
    </w:p>
    <w:p w14:paraId="2EC2D82D" w14:textId="77777777" w:rsidR="008C4D2E" w:rsidRPr="008C4D2E" w:rsidRDefault="008C4D2E" w:rsidP="008C4D2E">
      <w:pPr>
        <w:spacing w:after="0"/>
      </w:pPr>
    </w:p>
    <w:p w14:paraId="2AA8FF19" w14:textId="77777777" w:rsidR="008C4D2E" w:rsidRPr="008C4D2E" w:rsidRDefault="008C4D2E" w:rsidP="008C4D2E">
      <w:pPr>
        <w:spacing w:after="0"/>
        <w:rPr>
          <w:b/>
          <w:bCs/>
        </w:rPr>
      </w:pPr>
      <w:r w:rsidRPr="008C4D2E">
        <w:rPr>
          <w:b/>
          <w:bCs/>
        </w:rPr>
        <w:t>3. Proposed Development</w:t>
      </w:r>
    </w:p>
    <w:p w14:paraId="304F376D" w14:textId="77777777" w:rsidR="008C4D2E" w:rsidRPr="008C4D2E" w:rsidRDefault="008C4D2E" w:rsidP="008C4D2E">
      <w:pPr>
        <w:spacing w:after="0"/>
      </w:pPr>
      <w:r w:rsidRPr="008C4D2E">
        <w:t xml:space="preserve">The proposal comprises </w:t>
      </w:r>
      <w:r w:rsidRPr="008C4D2E">
        <w:rPr>
          <w:b/>
          <w:bCs/>
        </w:rPr>
        <w:t>minor external works only</w:t>
      </w:r>
      <w:r w:rsidRPr="008C4D2E">
        <w:t>, specifically:</w:t>
      </w:r>
    </w:p>
    <w:p w14:paraId="6A0E262A" w14:textId="77777777" w:rsidR="008C4D2E" w:rsidRPr="008C4D2E" w:rsidRDefault="008C4D2E" w:rsidP="008C4D2E">
      <w:pPr>
        <w:numPr>
          <w:ilvl w:val="0"/>
          <w:numId w:val="1"/>
        </w:numPr>
        <w:spacing w:after="0"/>
      </w:pPr>
      <w:r w:rsidRPr="008C4D2E">
        <w:t>Installation of an external extractor unit for air conditioning</w:t>
      </w:r>
    </w:p>
    <w:p w14:paraId="3BDB03BB" w14:textId="57DAD332" w:rsidR="008C4D2E" w:rsidRPr="008C4D2E" w:rsidRDefault="008C4D2E" w:rsidP="008C4D2E">
      <w:pPr>
        <w:numPr>
          <w:ilvl w:val="0"/>
          <w:numId w:val="1"/>
        </w:numPr>
        <w:spacing w:after="0"/>
      </w:pPr>
      <w:r w:rsidRPr="008C4D2E">
        <w:t>Installation of an external vent</w:t>
      </w:r>
      <w:r w:rsidR="009C5C77">
        <w:t>s</w:t>
      </w:r>
      <w:r w:rsidRPr="008C4D2E">
        <w:t xml:space="preserve"> for an extractor system</w:t>
      </w:r>
      <w:r w:rsidR="009C5C77">
        <w:t xml:space="preserve"> </w:t>
      </w:r>
    </w:p>
    <w:p w14:paraId="5C2AFB0B" w14:textId="77777777" w:rsidR="008C4D2E" w:rsidRPr="008C4D2E" w:rsidRDefault="008C4D2E" w:rsidP="008C4D2E">
      <w:pPr>
        <w:spacing w:after="0"/>
      </w:pPr>
      <w:r w:rsidRPr="008C4D2E">
        <w:t xml:space="preserve">The works </w:t>
      </w:r>
      <w:r w:rsidRPr="008C4D2E">
        <w:rPr>
          <w:b/>
          <w:bCs/>
        </w:rPr>
        <w:t>do not involve</w:t>
      </w:r>
      <w:r w:rsidRPr="008C4D2E">
        <w:t>:</w:t>
      </w:r>
    </w:p>
    <w:p w14:paraId="77EDB43A" w14:textId="77777777" w:rsidR="008C4D2E" w:rsidRPr="008C4D2E" w:rsidRDefault="008C4D2E" w:rsidP="008C4D2E">
      <w:pPr>
        <w:numPr>
          <w:ilvl w:val="0"/>
          <w:numId w:val="2"/>
        </w:numPr>
        <w:spacing w:after="0"/>
      </w:pPr>
      <w:r w:rsidRPr="008C4D2E">
        <w:t>Ground</w:t>
      </w:r>
      <w:r w:rsidRPr="008C4D2E">
        <w:noBreakHyphen/>
        <w:t>breaking or excavation</w:t>
      </w:r>
    </w:p>
    <w:p w14:paraId="7528101A" w14:textId="77777777" w:rsidR="008C4D2E" w:rsidRPr="008C4D2E" w:rsidRDefault="008C4D2E" w:rsidP="008C4D2E">
      <w:pPr>
        <w:numPr>
          <w:ilvl w:val="0"/>
          <w:numId w:val="2"/>
        </w:numPr>
        <w:spacing w:after="0"/>
      </w:pPr>
      <w:r w:rsidRPr="008C4D2E">
        <w:t>Alteration to the building footprint</w:t>
      </w:r>
    </w:p>
    <w:p w14:paraId="1CFE992D" w14:textId="77777777" w:rsidR="008C4D2E" w:rsidRPr="008C4D2E" w:rsidRDefault="008C4D2E" w:rsidP="008C4D2E">
      <w:pPr>
        <w:numPr>
          <w:ilvl w:val="0"/>
          <w:numId w:val="2"/>
        </w:numPr>
        <w:spacing w:after="0"/>
      </w:pPr>
      <w:r w:rsidRPr="008C4D2E">
        <w:t>Structural changes</w:t>
      </w:r>
    </w:p>
    <w:p w14:paraId="6E472431" w14:textId="77777777" w:rsidR="008C4D2E" w:rsidRPr="008C4D2E" w:rsidRDefault="008C4D2E" w:rsidP="008C4D2E">
      <w:pPr>
        <w:numPr>
          <w:ilvl w:val="0"/>
          <w:numId w:val="2"/>
        </w:numPr>
        <w:spacing w:after="0"/>
      </w:pPr>
      <w:r w:rsidRPr="008C4D2E">
        <w:t>Any increase in internal or external floor area</w:t>
      </w:r>
    </w:p>
    <w:p w14:paraId="3A446BA1" w14:textId="77777777" w:rsidR="008C4D2E" w:rsidRPr="008C4D2E" w:rsidRDefault="008C4D2E" w:rsidP="008C4D2E">
      <w:pPr>
        <w:numPr>
          <w:ilvl w:val="0"/>
          <w:numId w:val="2"/>
        </w:numPr>
        <w:spacing w:after="0"/>
      </w:pPr>
      <w:r w:rsidRPr="008C4D2E">
        <w:t>Any change of use</w:t>
      </w:r>
    </w:p>
    <w:p w14:paraId="6DE1D4D4" w14:textId="77777777" w:rsidR="008C4D2E" w:rsidRDefault="008C4D2E" w:rsidP="008C4D2E">
      <w:pPr>
        <w:spacing w:after="0"/>
      </w:pPr>
      <w:r w:rsidRPr="008C4D2E">
        <w:t xml:space="preserve">The Site will continue to operate as a </w:t>
      </w:r>
      <w:r w:rsidRPr="008C4D2E">
        <w:rPr>
          <w:b/>
          <w:bCs/>
        </w:rPr>
        <w:t>commercial premises</w:t>
      </w:r>
      <w:r w:rsidRPr="008C4D2E">
        <w:t>, and the vulnerability classification of the use remains unchanged.</w:t>
      </w:r>
    </w:p>
    <w:p w14:paraId="0FDD0E24" w14:textId="77777777" w:rsidR="008C4D2E" w:rsidRPr="008C4D2E" w:rsidRDefault="008C4D2E" w:rsidP="008C4D2E">
      <w:pPr>
        <w:spacing w:after="0"/>
      </w:pPr>
    </w:p>
    <w:p w14:paraId="0BAEC4F3" w14:textId="77777777" w:rsidR="008C4D2E" w:rsidRPr="008C4D2E" w:rsidRDefault="008C4D2E" w:rsidP="008C4D2E">
      <w:pPr>
        <w:spacing w:after="0"/>
        <w:rPr>
          <w:b/>
          <w:bCs/>
        </w:rPr>
      </w:pPr>
      <w:r w:rsidRPr="008C4D2E">
        <w:rPr>
          <w:b/>
          <w:bCs/>
        </w:rPr>
        <w:t>4. Flood Risk Assessment</w:t>
      </w:r>
    </w:p>
    <w:p w14:paraId="4AC66289" w14:textId="77777777" w:rsidR="008C4D2E" w:rsidRPr="008C4D2E" w:rsidRDefault="008C4D2E" w:rsidP="008C4D2E">
      <w:pPr>
        <w:spacing w:after="0"/>
        <w:rPr>
          <w:b/>
          <w:bCs/>
        </w:rPr>
      </w:pPr>
      <w:r w:rsidRPr="008C4D2E">
        <w:rPr>
          <w:b/>
          <w:bCs/>
        </w:rPr>
        <w:t>4.1 Impact on Flood Risk</w:t>
      </w:r>
    </w:p>
    <w:p w14:paraId="37BF0DD1" w14:textId="77777777" w:rsidR="008C4D2E" w:rsidRPr="008C4D2E" w:rsidRDefault="008C4D2E" w:rsidP="008C4D2E">
      <w:pPr>
        <w:spacing w:after="0"/>
      </w:pPr>
      <w:r w:rsidRPr="008C4D2E">
        <w:t>Given the limited nature of the proposed works, the development will:</w:t>
      </w:r>
    </w:p>
    <w:p w14:paraId="3781E1EB" w14:textId="77777777" w:rsidR="008C4D2E" w:rsidRPr="008C4D2E" w:rsidRDefault="008C4D2E" w:rsidP="008C4D2E">
      <w:pPr>
        <w:numPr>
          <w:ilvl w:val="0"/>
          <w:numId w:val="3"/>
        </w:numPr>
        <w:spacing w:after="0"/>
      </w:pPr>
      <w:r w:rsidRPr="008C4D2E">
        <w:t>Not increase impermeable surface area</w:t>
      </w:r>
    </w:p>
    <w:p w14:paraId="0CC4C9CB" w14:textId="77777777" w:rsidR="008C4D2E" w:rsidRPr="008C4D2E" w:rsidRDefault="008C4D2E" w:rsidP="008C4D2E">
      <w:pPr>
        <w:numPr>
          <w:ilvl w:val="0"/>
          <w:numId w:val="3"/>
        </w:numPr>
        <w:spacing w:after="0"/>
      </w:pPr>
      <w:r w:rsidRPr="008C4D2E">
        <w:t>Not alter surface water runoff characteristics</w:t>
      </w:r>
    </w:p>
    <w:p w14:paraId="747E26EB" w14:textId="77777777" w:rsidR="008C4D2E" w:rsidRPr="008C4D2E" w:rsidRDefault="008C4D2E" w:rsidP="008C4D2E">
      <w:pPr>
        <w:numPr>
          <w:ilvl w:val="0"/>
          <w:numId w:val="3"/>
        </w:numPr>
        <w:spacing w:after="0"/>
      </w:pPr>
      <w:r w:rsidRPr="008C4D2E">
        <w:t>Not affect existing flood storage capacity</w:t>
      </w:r>
    </w:p>
    <w:p w14:paraId="26A7EBBA" w14:textId="77777777" w:rsidR="008C4D2E" w:rsidRPr="008C4D2E" w:rsidRDefault="008C4D2E" w:rsidP="008C4D2E">
      <w:pPr>
        <w:numPr>
          <w:ilvl w:val="0"/>
          <w:numId w:val="3"/>
        </w:numPr>
        <w:spacing w:after="0"/>
      </w:pPr>
      <w:r w:rsidRPr="008C4D2E">
        <w:lastRenderedPageBreak/>
        <w:t>Not introduce any additional sources of flood risk</w:t>
      </w:r>
    </w:p>
    <w:p w14:paraId="130AF6D8" w14:textId="77777777" w:rsidR="008C4D2E" w:rsidRPr="008C4D2E" w:rsidRDefault="008C4D2E" w:rsidP="008C4D2E">
      <w:pPr>
        <w:numPr>
          <w:ilvl w:val="0"/>
          <w:numId w:val="3"/>
        </w:numPr>
        <w:spacing w:after="0"/>
      </w:pPr>
      <w:r w:rsidRPr="008C4D2E">
        <w:t>Not increase flood risk elsewhere</w:t>
      </w:r>
    </w:p>
    <w:p w14:paraId="26AC7FC2" w14:textId="77777777" w:rsidR="008C4D2E" w:rsidRDefault="008C4D2E" w:rsidP="008C4D2E">
      <w:pPr>
        <w:spacing w:after="0"/>
      </w:pPr>
      <w:r w:rsidRPr="008C4D2E">
        <w:t xml:space="preserve">The proposals therefore represent </w:t>
      </w:r>
      <w:r w:rsidRPr="008C4D2E">
        <w:rPr>
          <w:b/>
          <w:bCs/>
        </w:rPr>
        <w:t>no material change</w:t>
      </w:r>
      <w:r w:rsidRPr="008C4D2E">
        <w:t xml:space="preserve"> to the building’s interaction with flood pathways or floodplain behaviour.</w:t>
      </w:r>
    </w:p>
    <w:p w14:paraId="3CB19229" w14:textId="77777777" w:rsidR="008C4D2E" w:rsidRPr="008C4D2E" w:rsidRDefault="008C4D2E" w:rsidP="008C4D2E">
      <w:pPr>
        <w:spacing w:after="0"/>
      </w:pPr>
    </w:p>
    <w:p w14:paraId="42ADED4C" w14:textId="77777777" w:rsidR="008C4D2E" w:rsidRPr="008C4D2E" w:rsidRDefault="008C4D2E" w:rsidP="008C4D2E">
      <w:pPr>
        <w:spacing w:after="0"/>
        <w:rPr>
          <w:b/>
          <w:bCs/>
        </w:rPr>
      </w:pPr>
      <w:r w:rsidRPr="008C4D2E">
        <w:rPr>
          <w:b/>
          <w:bCs/>
        </w:rPr>
        <w:t>4.2 Occupier Flood Preparedness</w:t>
      </w:r>
    </w:p>
    <w:p w14:paraId="257562D0" w14:textId="77777777" w:rsidR="008C4D2E" w:rsidRPr="008C4D2E" w:rsidRDefault="008C4D2E" w:rsidP="008C4D2E">
      <w:pPr>
        <w:spacing w:after="0"/>
      </w:pPr>
      <w:r w:rsidRPr="008C4D2E">
        <w:t>Although the development does not increase flood risk, the Site’s location within Flood Zone 3 means that appropriate awareness and preparedness measures remain advisable. Occupiers should:</w:t>
      </w:r>
    </w:p>
    <w:p w14:paraId="235C961D" w14:textId="77777777" w:rsidR="008C4D2E" w:rsidRPr="008C4D2E" w:rsidRDefault="008C4D2E" w:rsidP="008C4D2E">
      <w:pPr>
        <w:numPr>
          <w:ilvl w:val="0"/>
          <w:numId w:val="4"/>
        </w:numPr>
        <w:spacing w:after="0"/>
      </w:pPr>
      <w:r w:rsidRPr="008C4D2E">
        <w:t xml:space="preserve">Register for the Environment Agency’s </w:t>
      </w:r>
      <w:r w:rsidRPr="008C4D2E">
        <w:rPr>
          <w:b/>
          <w:bCs/>
        </w:rPr>
        <w:t>Flood Warning and Alert Service</w:t>
      </w:r>
    </w:p>
    <w:p w14:paraId="31F79421" w14:textId="77777777" w:rsidR="008C4D2E" w:rsidRPr="008C4D2E" w:rsidRDefault="008C4D2E" w:rsidP="008C4D2E">
      <w:pPr>
        <w:numPr>
          <w:ilvl w:val="0"/>
          <w:numId w:val="4"/>
        </w:numPr>
        <w:spacing w:after="0"/>
      </w:pPr>
      <w:r w:rsidRPr="008C4D2E">
        <w:t xml:space="preserve">Maintain suitable </w:t>
      </w:r>
      <w:r w:rsidRPr="008C4D2E">
        <w:rPr>
          <w:b/>
          <w:bCs/>
        </w:rPr>
        <w:t>buildings and contents insurance</w:t>
      </w:r>
      <w:r w:rsidRPr="008C4D2E">
        <w:t xml:space="preserve"> covering flood risk</w:t>
      </w:r>
    </w:p>
    <w:p w14:paraId="01FA754F" w14:textId="77777777" w:rsidR="008C4D2E" w:rsidRPr="008C4D2E" w:rsidRDefault="008C4D2E" w:rsidP="008C4D2E">
      <w:pPr>
        <w:numPr>
          <w:ilvl w:val="0"/>
          <w:numId w:val="4"/>
        </w:numPr>
        <w:spacing w:after="0"/>
      </w:pPr>
      <w:r w:rsidRPr="008C4D2E">
        <w:t xml:space="preserve">Review Government guidance on </w:t>
      </w:r>
      <w:r w:rsidRPr="008C4D2E">
        <w:rPr>
          <w:b/>
          <w:bCs/>
        </w:rPr>
        <w:t>flood resistance and resilience measures</w:t>
      </w:r>
      <w:r w:rsidRPr="008C4D2E">
        <w:t xml:space="preserve"> available at: </w:t>
      </w:r>
      <w:hyperlink r:id="rId5" w:tgtFrame="_blank" w:tooltip="www.gov.uk" w:history="1">
        <w:r w:rsidRPr="008C4D2E">
          <w:rPr>
            <w:rStyle w:val="Hyperlink"/>
          </w:rPr>
          <w:t>www.gov.uk/prepare-for-flooding</w:t>
        </w:r>
      </w:hyperlink>
    </w:p>
    <w:p w14:paraId="0072F779" w14:textId="77777777" w:rsidR="008C4D2E" w:rsidRDefault="008C4D2E" w:rsidP="008C4D2E">
      <w:pPr>
        <w:spacing w:after="0"/>
      </w:pPr>
      <w:r w:rsidRPr="008C4D2E">
        <w:t>These measures support safe occupation but are not required as mitigation for the proposed works.</w:t>
      </w:r>
    </w:p>
    <w:p w14:paraId="6FED91FE" w14:textId="77777777" w:rsidR="008C4D2E" w:rsidRPr="008C4D2E" w:rsidRDefault="008C4D2E" w:rsidP="008C4D2E">
      <w:pPr>
        <w:spacing w:after="0"/>
      </w:pPr>
    </w:p>
    <w:p w14:paraId="558C9109" w14:textId="77777777" w:rsidR="008C4D2E" w:rsidRPr="008C4D2E" w:rsidRDefault="008C4D2E" w:rsidP="008C4D2E">
      <w:pPr>
        <w:spacing w:after="0"/>
        <w:rPr>
          <w:b/>
          <w:bCs/>
        </w:rPr>
      </w:pPr>
      <w:r w:rsidRPr="008C4D2E">
        <w:rPr>
          <w:b/>
          <w:bCs/>
        </w:rPr>
        <w:t>5. Conclusion</w:t>
      </w:r>
    </w:p>
    <w:p w14:paraId="77BB98AD" w14:textId="1C9C432C" w:rsidR="0039240B" w:rsidRPr="008C4D2E" w:rsidRDefault="008C4D2E" w:rsidP="008C4D2E">
      <w:pPr>
        <w:spacing w:after="0"/>
      </w:pPr>
      <w:r w:rsidRPr="008C4D2E">
        <w:t xml:space="preserve">The proposed minor external works at Unit 2 &amp; 3, 14 The Crescent will </w:t>
      </w:r>
      <w:r w:rsidRPr="008C4D2E">
        <w:rPr>
          <w:b/>
          <w:bCs/>
        </w:rPr>
        <w:t>not increase flood risk</w:t>
      </w:r>
      <w:r w:rsidRPr="008C4D2E">
        <w:t xml:space="preserve"> to the Site or any neighbouring land. The development does not alter the building footprint, vulnerability classification, or surface water characteristics, and therefore has </w:t>
      </w:r>
      <w:r w:rsidRPr="008C4D2E">
        <w:rPr>
          <w:b/>
          <w:bCs/>
        </w:rPr>
        <w:t>no adverse flood risk implications</w:t>
      </w:r>
      <w:r w:rsidRPr="008C4D2E">
        <w:t>.</w:t>
      </w:r>
    </w:p>
    <w:sectPr w:rsidR="0039240B" w:rsidRPr="008C4D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elleza">
    <w:panose1 w:val="00000000000000000000"/>
    <w:charset w:val="00"/>
    <w:family w:val="auto"/>
    <w:pitch w:val="variable"/>
    <w:sig w:usb0="A00000EF" w:usb1="5000204B" w:usb2="00000000" w:usb3="00000000" w:csb0="00000093"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459BF"/>
    <w:multiLevelType w:val="multilevel"/>
    <w:tmpl w:val="65D8A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3D3E7A"/>
    <w:multiLevelType w:val="multilevel"/>
    <w:tmpl w:val="3B268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2018DB"/>
    <w:multiLevelType w:val="multilevel"/>
    <w:tmpl w:val="59BC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517EE7"/>
    <w:multiLevelType w:val="multilevel"/>
    <w:tmpl w:val="8014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328A4"/>
    <w:multiLevelType w:val="multilevel"/>
    <w:tmpl w:val="A364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7799332">
    <w:abstractNumId w:val="0"/>
  </w:num>
  <w:num w:numId="2" w16cid:durableId="2135176360">
    <w:abstractNumId w:val="2"/>
  </w:num>
  <w:num w:numId="3" w16cid:durableId="251166376">
    <w:abstractNumId w:val="4"/>
  </w:num>
  <w:num w:numId="4" w16cid:durableId="1601059304">
    <w:abstractNumId w:val="3"/>
  </w:num>
  <w:num w:numId="5" w16cid:durableId="627198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D2E"/>
    <w:rsid w:val="00231588"/>
    <w:rsid w:val="0039240B"/>
    <w:rsid w:val="00644A62"/>
    <w:rsid w:val="008C4D2E"/>
    <w:rsid w:val="00960352"/>
    <w:rsid w:val="009C5C77"/>
    <w:rsid w:val="009E5B34"/>
    <w:rsid w:val="00B84985"/>
    <w:rsid w:val="00CA3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88C25"/>
  <w15:chartTrackingRefBased/>
  <w15:docId w15:val="{B60FF6D2-D334-4C41-8B02-2A58E7AC3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588"/>
    <w:pPr>
      <w:keepNext/>
      <w:keepLines/>
      <w:spacing w:before="240" w:after="0" w:line="360" w:lineRule="auto"/>
      <w:jc w:val="center"/>
      <w:outlineLvl w:val="0"/>
    </w:pPr>
    <w:rPr>
      <w:rFonts w:ascii="Belleza" w:eastAsiaTheme="majorEastAsia" w:hAnsi="Belleza" w:cstheme="majorBidi"/>
      <w:color w:val="0F4761" w:themeColor="accent1" w:themeShade="BF"/>
      <w:sz w:val="28"/>
      <w:szCs w:val="32"/>
      <w:u w:val="single"/>
    </w:rPr>
  </w:style>
  <w:style w:type="paragraph" w:styleId="Heading2">
    <w:name w:val="heading 2"/>
    <w:basedOn w:val="Normal"/>
    <w:next w:val="Normal"/>
    <w:link w:val="Heading2Char"/>
    <w:uiPriority w:val="9"/>
    <w:semiHidden/>
    <w:unhideWhenUsed/>
    <w:qFormat/>
    <w:rsid w:val="008C4D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4D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D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4D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4D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D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D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D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588"/>
    <w:rPr>
      <w:rFonts w:ascii="Belleza" w:eastAsiaTheme="majorEastAsia" w:hAnsi="Belleza" w:cstheme="majorBidi"/>
      <w:color w:val="0F4761" w:themeColor="accent1" w:themeShade="BF"/>
      <w:sz w:val="28"/>
      <w:szCs w:val="32"/>
      <w:u w:val="single"/>
    </w:rPr>
  </w:style>
  <w:style w:type="character" w:customStyle="1" w:styleId="Heading2Char">
    <w:name w:val="Heading 2 Char"/>
    <w:basedOn w:val="DefaultParagraphFont"/>
    <w:link w:val="Heading2"/>
    <w:uiPriority w:val="9"/>
    <w:semiHidden/>
    <w:rsid w:val="008C4D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4D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D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4D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4D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D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D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D2E"/>
    <w:rPr>
      <w:rFonts w:eastAsiaTheme="majorEastAsia" w:cstheme="majorBidi"/>
      <w:color w:val="272727" w:themeColor="text1" w:themeTint="D8"/>
    </w:rPr>
  </w:style>
  <w:style w:type="paragraph" w:styleId="Title">
    <w:name w:val="Title"/>
    <w:basedOn w:val="Normal"/>
    <w:next w:val="Normal"/>
    <w:link w:val="TitleChar"/>
    <w:uiPriority w:val="10"/>
    <w:qFormat/>
    <w:rsid w:val="008C4D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D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D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D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D2E"/>
    <w:pPr>
      <w:spacing w:before="160"/>
      <w:jc w:val="center"/>
    </w:pPr>
    <w:rPr>
      <w:i/>
      <w:iCs/>
      <w:color w:val="404040" w:themeColor="text1" w:themeTint="BF"/>
    </w:rPr>
  </w:style>
  <w:style w:type="character" w:customStyle="1" w:styleId="QuoteChar">
    <w:name w:val="Quote Char"/>
    <w:basedOn w:val="DefaultParagraphFont"/>
    <w:link w:val="Quote"/>
    <w:uiPriority w:val="29"/>
    <w:rsid w:val="008C4D2E"/>
    <w:rPr>
      <w:i/>
      <w:iCs/>
      <w:color w:val="404040" w:themeColor="text1" w:themeTint="BF"/>
    </w:rPr>
  </w:style>
  <w:style w:type="paragraph" w:styleId="ListParagraph">
    <w:name w:val="List Paragraph"/>
    <w:basedOn w:val="Normal"/>
    <w:uiPriority w:val="34"/>
    <w:qFormat/>
    <w:rsid w:val="008C4D2E"/>
    <w:pPr>
      <w:ind w:left="720"/>
      <w:contextualSpacing/>
    </w:pPr>
  </w:style>
  <w:style w:type="character" w:styleId="IntenseEmphasis">
    <w:name w:val="Intense Emphasis"/>
    <w:basedOn w:val="DefaultParagraphFont"/>
    <w:uiPriority w:val="21"/>
    <w:qFormat/>
    <w:rsid w:val="008C4D2E"/>
    <w:rPr>
      <w:i/>
      <w:iCs/>
      <w:color w:val="0F4761" w:themeColor="accent1" w:themeShade="BF"/>
    </w:rPr>
  </w:style>
  <w:style w:type="paragraph" w:styleId="IntenseQuote">
    <w:name w:val="Intense Quote"/>
    <w:basedOn w:val="Normal"/>
    <w:next w:val="Normal"/>
    <w:link w:val="IntenseQuoteChar"/>
    <w:uiPriority w:val="30"/>
    <w:qFormat/>
    <w:rsid w:val="008C4D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D2E"/>
    <w:rPr>
      <w:i/>
      <w:iCs/>
      <w:color w:val="0F4761" w:themeColor="accent1" w:themeShade="BF"/>
    </w:rPr>
  </w:style>
  <w:style w:type="character" w:styleId="IntenseReference">
    <w:name w:val="Intense Reference"/>
    <w:basedOn w:val="DefaultParagraphFont"/>
    <w:uiPriority w:val="32"/>
    <w:qFormat/>
    <w:rsid w:val="008C4D2E"/>
    <w:rPr>
      <w:b/>
      <w:bCs/>
      <w:smallCaps/>
      <w:color w:val="0F4761" w:themeColor="accent1" w:themeShade="BF"/>
      <w:spacing w:val="5"/>
    </w:rPr>
  </w:style>
  <w:style w:type="character" w:styleId="Hyperlink">
    <w:name w:val="Hyperlink"/>
    <w:basedOn w:val="DefaultParagraphFont"/>
    <w:uiPriority w:val="99"/>
    <w:unhideWhenUsed/>
    <w:rsid w:val="008C4D2E"/>
    <w:rPr>
      <w:color w:val="467886" w:themeColor="hyperlink"/>
      <w:u w:val="single"/>
    </w:rPr>
  </w:style>
  <w:style w:type="character" w:styleId="UnresolvedMention">
    <w:name w:val="Unresolved Mention"/>
    <w:basedOn w:val="DefaultParagraphFont"/>
    <w:uiPriority w:val="99"/>
    <w:semiHidden/>
    <w:unhideWhenUsed/>
    <w:rsid w:val="008C4D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prepare-for-flooding?utm_source=copilo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470</Words>
  <Characters>2680</Characters>
  <Application>Microsoft Office Word</Application>
  <DocSecurity>0</DocSecurity>
  <Lines>22</Lines>
  <Paragraphs>6</Paragraphs>
  <ScaleCrop>false</ScaleCrop>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Berry Grove Childcare</dc:creator>
  <cp:keywords/>
  <dc:description/>
  <cp:lastModifiedBy>Berry Grove Childcare</cp:lastModifiedBy>
  <cp:revision>2</cp:revision>
  <dcterms:created xsi:type="dcterms:W3CDTF">2026-07-13T18:50:00Z</dcterms:created>
  <dcterms:modified xsi:type="dcterms:W3CDTF">2026-07-13T18:56:00Z</dcterms:modified>
</cp:coreProperties>
</file>