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3666B" w14:textId="005E8B07" w:rsidR="00DE4C62" w:rsidRPr="00DE4C62" w:rsidRDefault="00DE4C62">
      <w:pPr>
        <w:rPr>
          <w:b/>
          <w:bCs/>
          <w:sz w:val="28"/>
          <w:szCs w:val="28"/>
        </w:rPr>
      </w:pPr>
      <w:r w:rsidRPr="00DE4C62">
        <w:rPr>
          <w:b/>
          <w:bCs/>
          <w:sz w:val="28"/>
          <w:szCs w:val="28"/>
        </w:rPr>
        <w:t>BNG Exemption Statement</w:t>
      </w:r>
    </w:p>
    <w:p w14:paraId="7B0DB5F1" w14:textId="0C7027F7" w:rsidR="009310B2" w:rsidRDefault="00DE4C62">
      <w:r w:rsidRPr="00DE4C62">
        <w:t>The proposed development qualifies for an exemption from Biodiversity Net Gain (BNG) requirements because it involves a temporary internal modification within an existing building, rather than new construction or development. This change of use will not impact the external environment or biodiversity</w:t>
      </w:r>
      <w:r>
        <w:t xml:space="preserve"> and </w:t>
      </w:r>
      <w:r w:rsidRPr="00DE4C62">
        <w:t xml:space="preserve"> no natural habitats will be</w:t>
      </w:r>
      <w:r>
        <w:t xml:space="preserve"> disturbed. </w:t>
      </w:r>
    </w:p>
    <w:sectPr w:rsidR="009310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C62"/>
    <w:rsid w:val="009310B2"/>
    <w:rsid w:val="00C26110"/>
    <w:rsid w:val="00C72ABD"/>
    <w:rsid w:val="00D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3E04D"/>
  <w15:chartTrackingRefBased/>
  <w15:docId w15:val="{FB656329-9A66-4BAB-BC59-82F5FF55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C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C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C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C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C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C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C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C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C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C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C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C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C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C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C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C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C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Higgins, Scott</dc:creator>
  <cp:keywords/>
  <dc:description/>
  <cp:lastModifiedBy>Higgins, Scott</cp:lastModifiedBy>
  <cp:revision>1</cp:revision>
  <dcterms:created xsi:type="dcterms:W3CDTF">2025-07-09T09:17:00Z</dcterms:created>
  <dcterms:modified xsi:type="dcterms:W3CDTF">2025-07-09T09:19:00Z</dcterms:modified>
</cp:coreProperties>
</file>