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137" w:rsidRPr="00F94137" w:rsidRDefault="00F94137" w:rsidP="00F94137">
      <w:pPr>
        <w:rPr>
          <w:b/>
          <w:bCs/>
        </w:rPr>
      </w:pPr>
      <w:r w:rsidRPr="00F94137">
        <w:rPr>
          <w:b/>
          <w:bCs/>
        </w:rPr>
        <w:t>ADDITIONAL / SUPPORTING INFORMATION STATEMENT</w:t>
      </w:r>
    </w:p>
    <w:p w:rsidR="00F94137" w:rsidRPr="00F94137" w:rsidRDefault="00F94137" w:rsidP="00F94137">
      <w:r w:rsidRPr="00F94137">
        <w:rPr>
          <w:b/>
          <w:bCs/>
        </w:rPr>
        <w:t>APPLICATION TYPE:</w:t>
      </w:r>
      <w:r w:rsidRPr="00F94137">
        <w:t xml:space="preserve"> Application for a Lawful Development Certificate (Proposed Use</w:t>
      </w:r>
      <w:proofErr w:type="gramStart"/>
      <w:r w:rsidRPr="00F94137">
        <w:t>)</w:t>
      </w:r>
      <w:proofErr w:type="gramEnd"/>
      <w:r w:rsidRPr="00F94137">
        <w:br/>
      </w:r>
      <w:r w:rsidRPr="00F94137">
        <w:rPr>
          <w:b/>
          <w:bCs/>
        </w:rPr>
        <w:t>SITE LOCATION:</w:t>
      </w:r>
      <w:r w:rsidRPr="00F94137">
        <w:t xml:space="preserve"> Residential Curtailment / Garden Land</w:t>
      </w:r>
      <w:r w:rsidRPr="00F94137">
        <w:br/>
      </w:r>
      <w:r w:rsidRPr="00F94137">
        <w:rPr>
          <w:b/>
          <w:bCs/>
        </w:rPr>
        <w:t>UNIT DETAIL:</w:t>
      </w:r>
      <w:r w:rsidRPr="00F94137">
        <w:t xml:space="preserve"> Willerby Boston 40ft x 20ft Twin-Unit Mobile Home Caravan</w:t>
      </w:r>
      <w:r w:rsidRPr="00F94137">
        <w:br/>
      </w:r>
      <w:r w:rsidRPr="00F94137">
        <w:rPr>
          <w:b/>
          <w:bCs/>
        </w:rPr>
        <w:t>REGULATORY FRAMEWORK:</w:t>
      </w:r>
      <w:r w:rsidRPr="00F94137">
        <w:t xml:space="preserve"> Caravan Sites Act 1968 (Section 13) &amp; BS 3632 Specification</w:t>
      </w:r>
    </w:p>
    <w:p w:rsidR="00F94137" w:rsidRPr="00F94137" w:rsidRDefault="00F94137" w:rsidP="00F94137">
      <w:r w:rsidRPr="00F94137">
        <w:pict>
          <v:rect id="_x0000_i1025" style="width:0;height:1.5pt" o:hralign="center" o:hrstd="t" o:hr="t" fillcolor="#a0a0a0" stroked="f"/>
        </w:pict>
      </w:r>
    </w:p>
    <w:p w:rsidR="00F94137" w:rsidRPr="00F94137" w:rsidRDefault="00F94137" w:rsidP="00F94137">
      <w:pPr>
        <w:rPr>
          <w:b/>
          <w:bCs/>
        </w:rPr>
      </w:pPr>
      <w:r w:rsidRPr="00F94137">
        <w:rPr>
          <w:b/>
          <w:bCs/>
        </w:rPr>
        <w:t>1. PHYSICAL DIMENSIONS &amp; METRICS</w:t>
      </w:r>
    </w:p>
    <w:p w:rsidR="00F94137" w:rsidRPr="00F94137" w:rsidRDefault="00F94137" w:rsidP="00F94137">
      <w:r w:rsidRPr="00F94137">
        <w:t>The physical dimensions of the structure conform to the official manufacturer blueprints and stay within the statutory legal limits for a twin-unit caravan:</w:t>
      </w:r>
    </w:p>
    <w:p w:rsidR="00F94137" w:rsidRPr="00F94137" w:rsidRDefault="00F94137" w:rsidP="00F94137">
      <w:pPr>
        <w:numPr>
          <w:ilvl w:val="0"/>
          <w:numId w:val="1"/>
        </w:numPr>
      </w:pPr>
      <w:r w:rsidRPr="00F94137">
        <w:rPr>
          <w:b/>
          <w:bCs/>
        </w:rPr>
        <w:t>Maximum Total Length (Including Roof Overhangs):</w:t>
      </w:r>
      <w:r w:rsidRPr="00F94137">
        <w:t xml:space="preserve"> 13.17 metres (43 feet 2 inches)</w:t>
      </w:r>
    </w:p>
    <w:p w:rsidR="00F94137" w:rsidRPr="00F94137" w:rsidRDefault="00F94137" w:rsidP="00F94137">
      <w:pPr>
        <w:numPr>
          <w:ilvl w:val="0"/>
          <w:numId w:val="1"/>
        </w:numPr>
      </w:pPr>
      <w:r w:rsidRPr="00F94137">
        <w:rPr>
          <w:b/>
          <w:bCs/>
        </w:rPr>
        <w:t>Total Body Length (Including Front Bay Window):</w:t>
      </w:r>
      <w:r w:rsidRPr="00F94137">
        <w:t xml:space="preserve"> 12.82 metres (42 feet 1 inch)</w:t>
      </w:r>
    </w:p>
    <w:p w:rsidR="00F94137" w:rsidRPr="00F94137" w:rsidRDefault="00F94137" w:rsidP="00F94137">
      <w:pPr>
        <w:numPr>
          <w:ilvl w:val="0"/>
          <w:numId w:val="1"/>
        </w:numPr>
      </w:pPr>
      <w:r w:rsidRPr="00F94137">
        <w:rPr>
          <w:b/>
          <w:bCs/>
        </w:rPr>
        <w:t>Chassis / Floor-Level Length (Base Footprint):</w:t>
      </w:r>
      <w:r w:rsidRPr="00F94137">
        <w:t xml:space="preserve"> 12.35 metres (40 feet 6 inches)</w:t>
      </w:r>
    </w:p>
    <w:p w:rsidR="00F94137" w:rsidRPr="00F94137" w:rsidRDefault="00F94137" w:rsidP="00F94137">
      <w:pPr>
        <w:numPr>
          <w:ilvl w:val="0"/>
          <w:numId w:val="1"/>
        </w:numPr>
      </w:pPr>
      <w:r w:rsidRPr="00F94137">
        <w:rPr>
          <w:b/>
          <w:bCs/>
        </w:rPr>
        <w:t>Maximum Total Width (Including Gutters &amp; Bargeboards):</w:t>
      </w:r>
      <w:r w:rsidRPr="00F94137">
        <w:t xml:space="preserve"> 6.62 metres (21 feet 9 inches)</w:t>
      </w:r>
    </w:p>
    <w:p w:rsidR="00F94137" w:rsidRPr="00F94137" w:rsidRDefault="00F94137" w:rsidP="00F94137">
      <w:pPr>
        <w:numPr>
          <w:ilvl w:val="0"/>
          <w:numId w:val="1"/>
        </w:numPr>
      </w:pPr>
      <w:r w:rsidRPr="00F94137">
        <w:rPr>
          <w:b/>
          <w:bCs/>
        </w:rPr>
        <w:t>Chassis / Floor-Level Width (Base Footprint):</w:t>
      </w:r>
      <w:r w:rsidRPr="00F94137">
        <w:t xml:space="preserve"> 6.10 metres (20 feet 0 inches)</w:t>
      </w:r>
    </w:p>
    <w:p w:rsidR="00F94137" w:rsidRPr="00F94137" w:rsidRDefault="00F94137" w:rsidP="00F94137">
      <w:pPr>
        <w:numPr>
          <w:ilvl w:val="0"/>
          <w:numId w:val="1"/>
        </w:numPr>
      </w:pPr>
      <w:r w:rsidRPr="00F94137">
        <w:rPr>
          <w:b/>
          <w:bCs/>
        </w:rPr>
        <w:t>Maximum Structure Height (Chassis Base to Roof Ridge Apex):</w:t>
      </w:r>
      <w:r w:rsidRPr="00F94137">
        <w:t xml:space="preserve"> 4.03 metres (13 feet 3 inches)</w:t>
      </w:r>
    </w:p>
    <w:p w:rsidR="00F94137" w:rsidRPr="00F94137" w:rsidRDefault="00F94137" w:rsidP="00F94137">
      <w:pPr>
        <w:numPr>
          <w:ilvl w:val="0"/>
          <w:numId w:val="1"/>
        </w:numPr>
      </w:pPr>
      <w:r w:rsidRPr="00F94137">
        <w:rPr>
          <w:b/>
          <w:bCs/>
        </w:rPr>
        <w:t>Total Internal Living Area Size:</w:t>
      </w:r>
      <w:r w:rsidRPr="00F94137">
        <w:t xml:space="preserve"> Approximately 75.3 square metres (810 square feet)</w:t>
      </w:r>
    </w:p>
    <w:p w:rsidR="00F94137" w:rsidRPr="00F94137" w:rsidRDefault="00F94137" w:rsidP="00F94137">
      <w:r w:rsidRPr="00F94137">
        <w:pict>
          <v:rect id="_x0000_i1026" style="width:0;height:1.5pt" o:hralign="center" o:hrstd="t" o:hr="t" fillcolor="#a0a0a0" stroked="f"/>
        </w:pict>
      </w:r>
    </w:p>
    <w:p w:rsidR="00F94137" w:rsidRPr="00F94137" w:rsidRDefault="00F94137" w:rsidP="00F94137">
      <w:pPr>
        <w:rPr>
          <w:b/>
          <w:bCs/>
        </w:rPr>
      </w:pPr>
      <w:r w:rsidRPr="00F94137">
        <w:rPr>
          <w:b/>
          <w:bCs/>
        </w:rPr>
        <w:t>2. STRUCTURAL MODEL SPECIFICATIONS</w:t>
      </w:r>
    </w:p>
    <w:p w:rsidR="00F94137" w:rsidRPr="00F94137" w:rsidRDefault="00F94137" w:rsidP="00F94137">
      <w:r w:rsidRPr="00F94137">
        <w:t xml:space="preserve">The structural framing </w:t>
      </w:r>
      <w:proofErr w:type="gramStart"/>
      <w:r w:rsidRPr="00F94137">
        <w:t>is engineered</w:t>
      </w:r>
      <w:proofErr w:type="gramEnd"/>
      <w:r w:rsidRPr="00F94137">
        <w:t xml:space="preserve"> to residential holiday home standards (BS 3632), distributed across a high-tensile mobile chassis foundation:</w:t>
      </w:r>
    </w:p>
    <w:p w:rsidR="00F94137" w:rsidRPr="00F94137" w:rsidRDefault="00F94137" w:rsidP="00F94137">
      <w:pPr>
        <w:numPr>
          <w:ilvl w:val="0"/>
          <w:numId w:val="2"/>
        </w:numPr>
      </w:pPr>
      <w:r w:rsidRPr="00F94137">
        <w:rPr>
          <w:b/>
          <w:bCs/>
        </w:rPr>
        <w:t>Chassis Composition:</w:t>
      </w:r>
      <w:r w:rsidRPr="00F94137">
        <w:t xml:space="preserve"> Heavy-duty, </w:t>
      </w:r>
      <w:proofErr w:type="gramStart"/>
      <w:r w:rsidRPr="00F94137">
        <w:t>fully-galvanised</w:t>
      </w:r>
      <w:proofErr w:type="gramEnd"/>
      <w:r w:rsidRPr="00F94137">
        <w:t xml:space="preserve"> steel twin-axle system. It </w:t>
      </w:r>
      <w:proofErr w:type="gramStart"/>
      <w:r w:rsidRPr="00F94137">
        <w:t>is manufactured and transported as two independent 40ft x 10ft frames that align and bolt together on-site</w:t>
      </w:r>
      <w:proofErr w:type="gramEnd"/>
      <w:r w:rsidRPr="00F94137">
        <w:t>.</w:t>
      </w:r>
    </w:p>
    <w:p w:rsidR="00F94137" w:rsidRPr="00F94137" w:rsidRDefault="00F94137" w:rsidP="00F94137">
      <w:pPr>
        <w:numPr>
          <w:ilvl w:val="0"/>
          <w:numId w:val="2"/>
        </w:numPr>
      </w:pPr>
      <w:r w:rsidRPr="00F94137">
        <w:rPr>
          <w:b/>
          <w:bCs/>
        </w:rPr>
        <w:t>Floor Architecture:</w:t>
      </w:r>
      <w:r w:rsidRPr="00F94137">
        <w:t xml:space="preserve"> Composite insulated floor construction featuring a rigid insulation core sandwiched between thick, moisture-resistant structural floorboards.</w:t>
      </w:r>
    </w:p>
    <w:p w:rsidR="00F94137" w:rsidRPr="00F94137" w:rsidRDefault="00F94137" w:rsidP="00F94137">
      <w:pPr>
        <w:numPr>
          <w:ilvl w:val="0"/>
          <w:numId w:val="2"/>
        </w:numPr>
      </w:pPr>
      <w:r w:rsidRPr="00F94137">
        <w:rPr>
          <w:b/>
          <w:bCs/>
        </w:rPr>
        <w:t>Wall Framework:</w:t>
      </w:r>
      <w:r w:rsidRPr="00F94137">
        <w:t xml:space="preserve"> 100mm structural grade timber studding packed with high-density mineral wool insulation, a vapour barrier, and a finished exterior cladding layer.</w:t>
      </w:r>
    </w:p>
    <w:p w:rsidR="00F94137" w:rsidRPr="00F94137" w:rsidRDefault="00F94137" w:rsidP="00F94137">
      <w:pPr>
        <w:numPr>
          <w:ilvl w:val="0"/>
          <w:numId w:val="2"/>
        </w:numPr>
      </w:pPr>
      <w:r w:rsidRPr="00F94137">
        <w:rPr>
          <w:b/>
          <w:bCs/>
        </w:rPr>
        <w:t>Roof System:</w:t>
      </w:r>
      <w:r w:rsidRPr="00F94137">
        <w:t xml:space="preserve"> Pre-engineered interlocking pitch timber trusses with a continuous 15mm OSB deck, high-performance insulation, and lightweight steel interlocking pantile tiles.</w:t>
      </w:r>
    </w:p>
    <w:p w:rsidR="00F94137" w:rsidRPr="00F94137" w:rsidRDefault="00F94137" w:rsidP="00F94137">
      <w:pPr>
        <w:numPr>
          <w:ilvl w:val="0"/>
          <w:numId w:val="2"/>
        </w:numPr>
      </w:pPr>
      <w:r w:rsidRPr="00F94137">
        <w:rPr>
          <w:b/>
          <w:bCs/>
        </w:rPr>
        <w:t>Glazing &amp; Utilities:</w:t>
      </w:r>
      <w:r w:rsidRPr="00F94137">
        <w:t xml:space="preserve"> High-efficiency, double-glazed </w:t>
      </w:r>
      <w:proofErr w:type="spellStart"/>
      <w:r w:rsidRPr="00F94137">
        <w:t>PVCu</w:t>
      </w:r>
      <w:proofErr w:type="spellEnd"/>
      <w:r w:rsidRPr="00F94137">
        <w:t xml:space="preserve"> windows and exterior doors, coupled with a full gas central heating network run by an A-rated condensing combi boiler.</w:t>
      </w:r>
    </w:p>
    <w:p w:rsidR="00F94137" w:rsidRPr="00F94137" w:rsidRDefault="00F94137" w:rsidP="00F94137">
      <w:r w:rsidRPr="00F94137">
        <w:pict>
          <v:rect id="_x0000_i1027" style="width:0;height:1.5pt" o:hralign="center" o:hrstd="t" o:hr="t" fillcolor="#a0a0a0" stroked="f"/>
        </w:pict>
      </w:r>
    </w:p>
    <w:p w:rsidR="00F94137" w:rsidRPr="00F94137" w:rsidRDefault="00F94137" w:rsidP="00F94137">
      <w:pPr>
        <w:rPr>
          <w:b/>
          <w:bCs/>
        </w:rPr>
      </w:pPr>
      <w:r w:rsidRPr="00F94137">
        <w:rPr>
          <w:b/>
          <w:bCs/>
        </w:rPr>
        <w:t>3. SITE ENGINEERING &amp; GROUNDWORK MANAGEMENT</w:t>
      </w:r>
    </w:p>
    <w:p w:rsidR="00F94137" w:rsidRPr="00F94137" w:rsidRDefault="00F94137" w:rsidP="00F94137">
      <w:r w:rsidRPr="00F94137">
        <w:t xml:space="preserve">To ensure complete structural safety while complying with local authority model standards for </w:t>
      </w:r>
      <w:proofErr w:type="spellStart"/>
      <w:r w:rsidRPr="00F94137">
        <w:t>hardstandings</w:t>
      </w:r>
      <w:proofErr w:type="spellEnd"/>
      <w:r w:rsidRPr="00F94137">
        <w:t>:</w:t>
      </w:r>
    </w:p>
    <w:p w:rsidR="00F94137" w:rsidRPr="00F94137" w:rsidRDefault="00F94137" w:rsidP="00F94137">
      <w:pPr>
        <w:numPr>
          <w:ilvl w:val="0"/>
          <w:numId w:val="3"/>
        </w:numPr>
      </w:pPr>
      <w:r w:rsidRPr="00F94137">
        <w:rPr>
          <w:b/>
          <w:bCs/>
        </w:rPr>
        <w:lastRenderedPageBreak/>
        <w:t>The Siting Base:</w:t>
      </w:r>
      <w:r w:rsidRPr="00F94137">
        <w:t xml:space="preserve"> A flat, level, non-deflective concrete hardstanding raft. It consists of a minimum 150mm thick pour of structural concrete laid over a compacted MOT Type 1 aggregate sub-base.</w:t>
      </w:r>
    </w:p>
    <w:p w:rsidR="00F94137" w:rsidRPr="00F94137" w:rsidRDefault="00F94137" w:rsidP="00F94137">
      <w:pPr>
        <w:numPr>
          <w:ilvl w:val="0"/>
          <w:numId w:val="3"/>
        </w:numPr>
      </w:pPr>
      <w:r w:rsidRPr="00F94137">
        <w:rPr>
          <w:b/>
          <w:bCs/>
        </w:rPr>
        <w:t>Level Tolerances:</w:t>
      </w:r>
      <w:r w:rsidRPr="00F94137">
        <w:t xml:space="preserve"> The concrete hardstanding maintains a strict level tolerance of +/- 3mm across the entire 40ft x 20ft plane to prevent structural twisting or roof seam separation.</w:t>
      </w:r>
    </w:p>
    <w:p w:rsidR="00F94137" w:rsidRPr="00F94137" w:rsidRDefault="00F94137" w:rsidP="00F94137">
      <w:pPr>
        <w:numPr>
          <w:ilvl w:val="0"/>
          <w:numId w:val="3"/>
        </w:numPr>
      </w:pPr>
      <w:r w:rsidRPr="00F94137">
        <w:rPr>
          <w:b/>
          <w:bCs/>
        </w:rPr>
        <w:t>Weight Load Distribution:</w:t>
      </w:r>
      <w:r w:rsidRPr="00F94137">
        <w:t xml:space="preserve"> </w:t>
      </w:r>
      <w:proofErr w:type="gramStart"/>
      <w:r w:rsidRPr="00F94137">
        <w:t>The structural load is carried solely by adjustable axle jacks</w:t>
      </w:r>
      <w:proofErr w:type="gramEnd"/>
      <w:r w:rsidRPr="00F94137">
        <w:t xml:space="preserve"> and concrete </w:t>
      </w:r>
      <w:proofErr w:type="spellStart"/>
      <w:r w:rsidRPr="00F94137">
        <w:t>leveling</w:t>
      </w:r>
      <w:proofErr w:type="spellEnd"/>
      <w:r w:rsidRPr="00F94137">
        <w:t xml:space="preserve"> blocks located along the main longitudinal steel chassis beams. The integrated corner steadies </w:t>
      </w:r>
      <w:proofErr w:type="gramStart"/>
      <w:r w:rsidRPr="00F94137">
        <w:t>are utilized</w:t>
      </w:r>
      <w:proofErr w:type="gramEnd"/>
      <w:r w:rsidRPr="00F94137">
        <w:t xml:space="preserve"> for stabilization during assembly only.</w:t>
      </w:r>
    </w:p>
    <w:p w:rsidR="00F94137" w:rsidRPr="00F94137" w:rsidRDefault="00F94137" w:rsidP="00F94137">
      <w:pPr>
        <w:numPr>
          <w:ilvl w:val="0"/>
          <w:numId w:val="3"/>
        </w:numPr>
      </w:pPr>
      <w:r w:rsidRPr="00F94137">
        <w:rPr>
          <w:b/>
          <w:bCs/>
        </w:rPr>
        <w:t>Wind Anchoring:</w:t>
      </w:r>
      <w:r w:rsidRPr="00F94137">
        <w:t xml:space="preserve"> Heavy-duty ground </w:t>
      </w:r>
      <w:proofErr w:type="gramStart"/>
      <w:r w:rsidRPr="00F94137">
        <w:t>eye-bolts</w:t>
      </w:r>
      <w:proofErr w:type="gramEnd"/>
      <w:r w:rsidRPr="00F94137">
        <w:t xml:space="preserve"> are chemically anchored into the concrete slab and chained securely to the chassis points to provide safety against high winds.</w:t>
      </w:r>
    </w:p>
    <w:p w:rsidR="00F94137" w:rsidRPr="00F94137" w:rsidRDefault="00F94137" w:rsidP="00F94137">
      <w:r w:rsidRPr="00F94137">
        <w:pict>
          <v:rect id="_x0000_i1028" style="width:0;height:1.5pt" o:hralign="center" o:hrstd="t" o:hr="t" fillcolor="#a0a0a0" stroked="f"/>
        </w:pict>
      </w:r>
    </w:p>
    <w:p w:rsidR="00F94137" w:rsidRPr="00F94137" w:rsidRDefault="00F94137" w:rsidP="00F94137">
      <w:pPr>
        <w:rPr>
          <w:b/>
          <w:bCs/>
        </w:rPr>
      </w:pPr>
      <w:r w:rsidRPr="00F94137">
        <w:rPr>
          <w:b/>
          <w:bCs/>
        </w:rPr>
        <w:t>4. PLANNING POLICY &amp; LEGAL COMPLIANCE STATEMENT</w:t>
      </w:r>
    </w:p>
    <w:p w:rsidR="00F94137" w:rsidRPr="00F94137" w:rsidRDefault="00F94137" w:rsidP="00F94137">
      <w:r w:rsidRPr="00F94137">
        <w:t>The proposed development consists of the stationing of a Willerby Boston 40ft x 20ft twin-unit mobile home caravan within the residential curtilage of the property for purposes ancillary to the main dwelling house. The unit conforms strictly to the legal definitions set out in Section 29(1) of the Caravan Sites and Control of Development Act 1960 and Section 13(1) of the Caravan Sites Act 1968. The project does not constitute operational development or a material change of use of the land.</w:t>
      </w:r>
    </w:p>
    <w:p w:rsidR="00F94137" w:rsidRPr="00F94137" w:rsidRDefault="00F94137" w:rsidP="00F94137">
      <w:r w:rsidRPr="00F94137">
        <w:t xml:space="preserve">To ensure site safety, structural longevity, and to prevent ground subsidence, the unit will rest via gravity upon an unattached, level, non-deflective concrete hardstanding pad. In strict compliance with caravan siting safety standards, the home will remain entirely </w:t>
      </w:r>
      <w:proofErr w:type="gramStart"/>
      <w:r w:rsidRPr="00F94137">
        <w:t>free-standing</w:t>
      </w:r>
      <w:proofErr w:type="gramEnd"/>
      <w:r w:rsidRPr="00F94137">
        <w:t xml:space="preserve"> and will not be </w:t>
      </w:r>
      <w:bookmarkStart w:id="0" w:name="_GoBack"/>
      <w:bookmarkEnd w:id="0"/>
      <w:r w:rsidRPr="00F94137">
        <w:t>permanently attached, fixed, or structurally bonded to the ground.</w:t>
      </w:r>
    </w:p>
    <w:p w:rsidR="00F94137" w:rsidRPr="00F94137" w:rsidRDefault="00F94137" w:rsidP="00F94137">
      <w:r w:rsidRPr="00F94137">
        <w:t xml:space="preserve">The structural weight of the mobile home </w:t>
      </w:r>
      <w:proofErr w:type="gramStart"/>
      <w:r w:rsidRPr="00F94137">
        <w:t>is entirely supported</w:t>
      </w:r>
      <w:proofErr w:type="gramEnd"/>
      <w:r w:rsidRPr="00F94137">
        <w:t xml:space="preserve"> by its own integrated, fully wheeled, galvanised steel twin-axle chassis. The chassis sits on top of temporary, adjustable steel axle stands and </w:t>
      </w:r>
      <w:proofErr w:type="spellStart"/>
      <w:r w:rsidRPr="00F94137">
        <w:t>leveling</w:t>
      </w:r>
      <w:proofErr w:type="spellEnd"/>
      <w:r w:rsidRPr="00F94137">
        <w:t xml:space="preserve"> blocks resting freely on top of the hardstanding surface. The running gear, wheels, and axles will remain </w:t>
      </w:r>
      <w:proofErr w:type="gramStart"/>
      <w:r w:rsidRPr="00F94137">
        <w:t>fully intact</w:t>
      </w:r>
      <w:proofErr w:type="gramEnd"/>
      <w:r w:rsidRPr="00F94137">
        <w:t xml:space="preserve"> beneath the structure.</w:t>
      </w:r>
    </w:p>
    <w:p w:rsidR="00F94137" w:rsidRPr="00F94137" w:rsidRDefault="00F94137" w:rsidP="00F94137">
      <w:r w:rsidRPr="00F94137">
        <w:t>All incoming and outgoing utility connections (mains water, drainage, electricity, and gas) will utilize standard quick-release, flexible couplers. This structural and operational configuration ensures the entire unit maintains complete independent mobility, allowing it to be safely disconnected, split into its two manufactured 40ft x 10ft halves, and rolled or winched from the site by a standard transport vehicle at any time, thereby fully satisfying the statutory legal tests for a caravan.</w:t>
      </w:r>
    </w:p>
    <w:p w:rsidR="00F94137" w:rsidRPr="00F94137" w:rsidRDefault="00F94137" w:rsidP="00F94137">
      <w:r w:rsidRPr="00F94137">
        <w:pict>
          <v:rect id="_x0000_i1029" style="width:0;height:1.5pt" o:hralign="center" o:hrstd="t" o:hr="t" fillcolor="#a0a0a0" stroked="f"/>
        </w:pict>
      </w:r>
    </w:p>
    <w:p w:rsidR="003C5E44" w:rsidRDefault="003C5E44"/>
    <w:sectPr w:rsidR="003C5E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595174"/>
    <w:multiLevelType w:val="multilevel"/>
    <w:tmpl w:val="16E4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FA7626"/>
    <w:multiLevelType w:val="multilevel"/>
    <w:tmpl w:val="AC5A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BC3CFD"/>
    <w:multiLevelType w:val="multilevel"/>
    <w:tmpl w:val="E7AA2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37"/>
    <w:rsid w:val="003C5E44"/>
    <w:rsid w:val="00F94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8D637-BE0F-46BE-BA0E-816F027A9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15068">
      <w:bodyDiv w:val="1"/>
      <w:marLeft w:val="0"/>
      <w:marRight w:val="0"/>
      <w:marTop w:val="0"/>
      <w:marBottom w:val="0"/>
      <w:divBdr>
        <w:top w:val="none" w:sz="0" w:space="0" w:color="auto"/>
        <w:left w:val="none" w:sz="0" w:space="0" w:color="auto"/>
        <w:bottom w:val="none" w:sz="0" w:space="0" w:color="auto"/>
        <w:right w:val="none" w:sz="0" w:space="0" w:color="auto"/>
      </w:divBdr>
      <w:divsChild>
        <w:div w:id="1322080506">
          <w:marLeft w:val="0"/>
          <w:marRight w:val="0"/>
          <w:marTop w:val="540"/>
          <w:marBottom w:val="180"/>
          <w:divBdr>
            <w:top w:val="none" w:sz="0" w:space="0" w:color="auto"/>
            <w:left w:val="none" w:sz="0" w:space="0" w:color="auto"/>
            <w:bottom w:val="none" w:sz="0" w:space="0" w:color="auto"/>
            <w:right w:val="none" w:sz="0" w:space="0" w:color="auto"/>
          </w:divBdr>
        </w:div>
        <w:div w:id="554437460">
          <w:marLeft w:val="0"/>
          <w:marRight w:val="0"/>
          <w:marTop w:val="540"/>
          <w:marBottom w:val="180"/>
          <w:divBdr>
            <w:top w:val="none" w:sz="0" w:space="0" w:color="auto"/>
            <w:left w:val="none" w:sz="0" w:space="0" w:color="auto"/>
            <w:bottom w:val="none" w:sz="0" w:space="0" w:color="auto"/>
            <w:right w:val="none" w:sz="0" w:space="0" w:color="auto"/>
          </w:divBdr>
        </w:div>
        <w:div w:id="275332596">
          <w:marLeft w:val="0"/>
          <w:marRight w:val="0"/>
          <w:marTop w:val="180"/>
          <w:marBottom w:val="180"/>
          <w:divBdr>
            <w:top w:val="none" w:sz="0" w:space="0" w:color="auto"/>
            <w:left w:val="none" w:sz="0" w:space="0" w:color="auto"/>
            <w:bottom w:val="none" w:sz="0" w:space="0" w:color="auto"/>
            <w:right w:val="none" w:sz="0" w:space="0" w:color="auto"/>
          </w:divBdr>
        </w:div>
        <w:div w:id="1359970189">
          <w:marLeft w:val="0"/>
          <w:marRight w:val="0"/>
          <w:marTop w:val="540"/>
          <w:marBottom w:val="180"/>
          <w:divBdr>
            <w:top w:val="none" w:sz="0" w:space="0" w:color="auto"/>
            <w:left w:val="none" w:sz="0" w:space="0" w:color="auto"/>
            <w:bottom w:val="none" w:sz="0" w:space="0" w:color="auto"/>
            <w:right w:val="none" w:sz="0" w:space="0" w:color="auto"/>
          </w:divBdr>
        </w:div>
        <w:div w:id="1918858308">
          <w:marLeft w:val="0"/>
          <w:marRight w:val="0"/>
          <w:marTop w:val="180"/>
          <w:marBottom w:val="180"/>
          <w:divBdr>
            <w:top w:val="none" w:sz="0" w:space="0" w:color="auto"/>
            <w:left w:val="none" w:sz="0" w:space="0" w:color="auto"/>
            <w:bottom w:val="none" w:sz="0" w:space="0" w:color="auto"/>
            <w:right w:val="none" w:sz="0" w:space="0" w:color="auto"/>
          </w:divBdr>
        </w:div>
      </w:divsChild>
    </w:div>
    <w:div w:id="1750493960">
      <w:bodyDiv w:val="1"/>
      <w:marLeft w:val="0"/>
      <w:marRight w:val="0"/>
      <w:marTop w:val="0"/>
      <w:marBottom w:val="0"/>
      <w:divBdr>
        <w:top w:val="none" w:sz="0" w:space="0" w:color="auto"/>
        <w:left w:val="none" w:sz="0" w:space="0" w:color="auto"/>
        <w:bottom w:val="none" w:sz="0" w:space="0" w:color="auto"/>
        <w:right w:val="none" w:sz="0" w:space="0" w:color="auto"/>
      </w:divBdr>
      <w:divsChild>
        <w:div w:id="1453326875">
          <w:marLeft w:val="0"/>
          <w:marRight w:val="0"/>
          <w:marTop w:val="0"/>
          <w:marBottom w:val="180"/>
          <w:divBdr>
            <w:top w:val="none" w:sz="0" w:space="0" w:color="auto"/>
            <w:left w:val="none" w:sz="0" w:space="0" w:color="auto"/>
            <w:bottom w:val="none" w:sz="0" w:space="0" w:color="auto"/>
            <w:right w:val="none" w:sz="0" w:space="0" w:color="auto"/>
          </w:divBdr>
        </w:div>
        <w:div w:id="1226918290">
          <w:marLeft w:val="0"/>
          <w:marRight w:val="0"/>
          <w:marTop w:val="180"/>
          <w:marBottom w:val="180"/>
          <w:divBdr>
            <w:top w:val="none" w:sz="0" w:space="0" w:color="auto"/>
            <w:left w:val="none" w:sz="0" w:space="0" w:color="auto"/>
            <w:bottom w:val="none" w:sz="0" w:space="0" w:color="auto"/>
            <w:right w:val="none" w:sz="0" w:space="0" w:color="auto"/>
          </w:divBdr>
        </w:div>
        <w:div w:id="363214187">
          <w:marLeft w:val="0"/>
          <w:marRight w:val="0"/>
          <w:marTop w:val="540"/>
          <w:marBottom w:val="180"/>
          <w:divBdr>
            <w:top w:val="none" w:sz="0" w:space="0" w:color="auto"/>
            <w:left w:val="none" w:sz="0" w:space="0" w:color="auto"/>
            <w:bottom w:val="none" w:sz="0" w:space="0" w:color="auto"/>
            <w:right w:val="none" w:sz="0" w:space="0" w:color="auto"/>
          </w:divBdr>
        </w:div>
        <w:div w:id="716047614">
          <w:marLeft w:val="0"/>
          <w:marRight w:val="0"/>
          <w:marTop w:val="540"/>
          <w:marBottom w:val="180"/>
          <w:divBdr>
            <w:top w:val="none" w:sz="0" w:space="0" w:color="auto"/>
            <w:left w:val="none" w:sz="0" w:space="0" w:color="auto"/>
            <w:bottom w:val="none" w:sz="0" w:space="0" w:color="auto"/>
            <w:right w:val="none" w:sz="0" w:space="0" w:color="auto"/>
          </w:divBdr>
        </w:div>
      </w:divsChild>
    </w:div>
    <w:div w:id="1919947479">
      <w:bodyDiv w:val="1"/>
      <w:marLeft w:val="0"/>
      <w:marRight w:val="0"/>
      <w:marTop w:val="0"/>
      <w:marBottom w:val="0"/>
      <w:divBdr>
        <w:top w:val="none" w:sz="0" w:space="0" w:color="auto"/>
        <w:left w:val="none" w:sz="0" w:space="0" w:color="auto"/>
        <w:bottom w:val="none" w:sz="0" w:space="0" w:color="auto"/>
        <w:right w:val="none" w:sz="0" w:space="0" w:color="auto"/>
      </w:divBdr>
      <w:divsChild>
        <w:div w:id="1085612360">
          <w:marLeft w:val="0"/>
          <w:marRight w:val="0"/>
          <w:marTop w:val="540"/>
          <w:marBottom w:val="180"/>
          <w:divBdr>
            <w:top w:val="none" w:sz="0" w:space="0" w:color="auto"/>
            <w:left w:val="none" w:sz="0" w:space="0" w:color="auto"/>
            <w:bottom w:val="none" w:sz="0" w:space="0" w:color="auto"/>
            <w:right w:val="none" w:sz="0" w:space="0" w:color="auto"/>
          </w:divBdr>
        </w:div>
        <w:div w:id="1221868268">
          <w:marLeft w:val="0"/>
          <w:marRight w:val="0"/>
          <w:marTop w:val="180"/>
          <w:marBottom w:val="180"/>
          <w:divBdr>
            <w:top w:val="none" w:sz="0" w:space="0" w:color="auto"/>
            <w:left w:val="none" w:sz="0" w:space="0" w:color="auto"/>
            <w:bottom w:val="none" w:sz="0" w:space="0" w:color="auto"/>
            <w:right w:val="none" w:sz="0" w:space="0" w:color="auto"/>
          </w:divBdr>
        </w:div>
        <w:div w:id="94982673">
          <w:marLeft w:val="0"/>
          <w:marRight w:val="0"/>
          <w:marTop w:val="540"/>
          <w:marBottom w:val="180"/>
          <w:divBdr>
            <w:top w:val="none" w:sz="0" w:space="0" w:color="auto"/>
            <w:left w:val="none" w:sz="0" w:space="0" w:color="auto"/>
            <w:bottom w:val="none" w:sz="0" w:space="0" w:color="auto"/>
            <w:right w:val="none" w:sz="0" w:space="0" w:color="auto"/>
          </w:divBdr>
        </w:div>
        <w:div w:id="1758596369">
          <w:marLeft w:val="0"/>
          <w:marRight w:val="0"/>
          <w:marTop w:val="180"/>
          <w:marBottom w:val="180"/>
          <w:divBdr>
            <w:top w:val="none" w:sz="0" w:space="0" w:color="auto"/>
            <w:left w:val="none" w:sz="0" w:space="0" w:color="auto"/>
            <w:bottom w:val="none" w:sz="0" w:space="0" w:color="auto"/>
            <w:right w:val="none" w:sz="0" w:space="0" w:color="auto"/>
          </w:divBdr>
        </w:div>
        <w:div w:id="1351760575">
          <w:marLeft w:val="0"/>
          <w:marRight w:val="0"/>
          <w:marTop w:val="540"/>
          <w:marBottom w:val="180"/>
          <w:divBdr>
            <w:top w:val="none" w:sz="0" w:space="0" w:color="auto"/>
            <w:left w:val="none" w:sz="0" w:space="0" w:color="auto"/>
            <w:bottom w:val="none" w:sz="0" w:space="0" w:color="auto"/>
            <w:right w:val="none" w:sz="0" w:space="0" w:color="auto"/>
          </w:divBdr>
        </w:div>
        <w:div w:id="1286890188">
          <w:marLeft w:val="0"/>
          <w:marRight w:val="0"/>
          <w:marTop w:val="180"/>
          <w:marBottom w:val="180"/>
          <w:divBdr>
            <w:top w:val="none" w:sz="0" w:space="0" w:color="auto"/>
            <w:left w:val="none" w:sz="0" w:space="0" w:color="auto"/>
            <w:bottom w:val="none" w:sz="0" w:space="0" w:color="auto"/>
            <w:right w:val="none" w:sz="0" w:space="0" w:color="auto"/>
          </w:divBdr>
        </w:div>
        <w:div w:id="1914927790">
          <w:marLeft w:val="0"/>
          <w:marRight w:val="0"/>
          <w:marTop w:val="540"/>
          <w:marBottom w:val="180"/>
          <w:divBdr>
            <w:top w:val="none" w:sz="0" w:space="0" w:color="auto"/>
            <w:left w:val="none" w:sz="0" w:space="0" w:color="auto"/>
            <w:bottom w:val="none" w:sz="0" w:space="0" w:color="auto"/>
            <w:right w:val="none" w:sz="0" w:space="0" w:color="auto"/>
          </w:divBdr>
        </w:div>
        <w:div w:id="353073777">
          <w:marLeft w:val="0"/>
          <w:marRight w:val="0"/>
          <w:marTop w:val="180"/>
          <w:marBottom w:val="180"/>
          <w:divBdr>
            <w:top w:val="none" w:sz="0" w:space="0" w:color="auto"/>
            <w:left w:val="none" w:sz="0" w:space="0" w:color="auto"/>
            <w:bottom w:val="none" w:sz="0" w:space="0" w:color="auto"/>
            <w:right w:val="none" w:sz="0" w:space="0" w:color="auto"/>
          </w:divBdr>
        </w:div>
        <w:div w:id="1023433062">
          <w:marLeft w:val="0"/>
          <w:marRight w:val="0"/>
          <w:marTop w:val="540"/>
          <w:marBottom w:val="180"/>
          <w:divBdr>
            <w:top w:val="none" w:sz="0" w:space="0" w:color="auto"/>
            <w:left w:val="none" w:sz="0" w:space="0" w:color="auto"/>
            <w:bottom w:val="none" w:sz="0" w:space="0" w:color="auto"/>
            <w:right w:val="none" w:sz="0" w:space="0" w:color="auto"/>
          </w:divBdr>
        </w:div>
        <w:div w:id="937062507">
          <w:marLeft w:val="0"/>
          <w:marRight w:val="0"/>
          <w:marTop w:val="180"/>
          <w:marBottom w:val="180"/>
          <w:divBdr>
            <w:top w:val="none" w:sz="0" w:space="0" w:color="auto"/>
            <w:left w:val="none" w:sz="0" w:space="0" w:color="auto"/>
            <w:bottom w:val="none" w:sz="0" w:space="0" w:color="auto"/>
            <w:right w:val="none" w:sz="0" w:space="0" w:color="auto"/>
          </w:divBdr>
        </w:div>
        <w:div w:id="1913151192">
          <w:marLeft w:val="0"/>
          <w:marRight w:val="0"/>
          <w:marTop w:val="180"/>
          <w:marBottom w:val="180"/>
          <w:divBdr>
            <w:top w:val="none" w:sz="0" w:space="0" w:color="auto"/>
            <w:left w:val="none" w:sz="0" w:space="0" w:color="auto"/>
            <w:bottom w:val="none" w:sz="0" w:space="0" w:color="auto"/>
            <w:right w:val="none" w:sz="0" w:space="0" w:color="auto"/>
          </w:divBdr>
        </w:div>
        <w:div w:id="459079895">
          <w:marLeft w:val="0"/>
          <w:marRight w:val="0"/>
          <w:marTop w:val="180"/>
          <w:marBottom w:val="180"/>
          <w:divBdr>
            <w:top w:val="none" w:sz="0" w:space="0" w:color="auto"/>
            <w:left w:val="none" w:sz="0" w:space="0" w:color="auto"/>
            <w:bottom w:val="none" w:sz="0" w:space="0" w:color="auto"/>
            <w:right w:val="none" w:sz="0" w:space="0" w:color="auto"/>
          </w:divBdr>
        </w:div>
        <w:div w:id="955604471">
          <w:marLeft w:val="0"/>
          <w:marRight w:val="0"/>
          <w:marTop w:val="18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Essex Partnership University NHS Foundation Trust</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Webster Diane (R1L) Essex Partnership</dc:creator>
  <cp:keywords/>
  <dc:description/>
  <cp:lastModifiedBy>Webster Diane (R1L) Essex Partnership</cp:lastModifiedBy>
  <cp:revision>1</cp:revision>
  <dcterms:created xsi:type="dcterms:W3CDTF">2026-05-17T19:58:00Z</dcterms:created>
  <dcterms:modified xsi:type="dcterms:W3CDTF">2026-05-17T20:27:00Z</dcterms:modified>
</cp:coreProperties>
</file>