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CD9" w:rsidRDefault="00C7562C">
      <w:bookmarkStart w:id="0" w:name="_GoBack"/>
      <w:r w:rsidRPr="00C7562C">
        <w:drawing>
          <wp:inline distT="0" distB="0" distL="0" distR="0" wp14:anchorId="40E76EC1" wp14:editId="4E470A02">
            <wp:extent cx="6021835" cy="6915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57831" cy="6956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7562C" w:rsidRDefault="00C7562C"/>
    <w:p w:rsidR="00C7562C" w:rsidRDefault="00C7562C"/>
    <w:sectPr w:rsidR="00C7562C" w:rsidSect="00C756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62C"/>
    <w:rsid w:val="003F2CD9"/>
    <w:rsid w:val="00C7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7BC21"/>
  <w15:chartTrackingRefBased/>
  <w15:docId w15:val="{ADD30E70-B568-4D68-8F39-7680D91FB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McCain Foods Limited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RICHARDSON, GARY</dc:creator>
  <cp:keywords/>
  <dc:description/>
  <cp:lastModifiedBy>RICHARDSON, GARY</cp:lastModifiedBy>
  <cp:revision>1</cp:revision>
  <dcterms:created xsi:type="dcterms:W3CDTF">2023-03-13T14:09:00Z</dcterms:created>
  <dcterms:modified xsi:type="dcterms:W3CDTF">2023-03-13T14:14:00Z</dcterms:modified>
</cp:coreProperties>
</file>